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01_Governance_Framework</w:t>
      </w:r>
    </w:p>
    <w:p>
      <w:pPr>
        <w:pStyle w:val="Heading1"/>
      </w:pPr>
      <w:bookmarkStart w:id="19" w:name="_77720c89ec980ddcebf360c42fe714345bd0d3a"/>
      <w:r>
        <w:t xml:space="preserve">Governance Framework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Board of Directors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Governance 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cce446d5a573e7132a5d927595f695e206f1f4c"/>
      <w:r>
        <w:t xml:space="preserve">1. Governance Principles</w:t>
      </w:r>
    </w:p>
    <w:p>
      <w:pPr>
        <w:pStyle w:val="Compact"/>
        <w:numPr>
          <w:ilvl w:val="0"/>
          <w:numId w:val="1001"/>
        </w:numPr>
      </w:pPr>
      <w:r>
        <w:t xml:space="preserve">Fiduciary duty to shareholders</w:t>
      </w:r>
    </w:p>
    <w:p>
      <w:pPr>
        <w:pStyle w:val="Compact"/>
        <w:numPr>
          <w:ilvl w:val="0"/>
          <w:numId w:val="1001"/>
        </w:numPr>
      </w:pPr>
      <w:r>
        <w:t xml:space="preserve">Strategic oversight</w:t>
      </w:r>
    </w:p>
    <w:p>
      <w:pPr>
        <w:pStyle w:val="Compact"/>
        <w:numPr>
          <w:ilvl w:val="0"/>
          <w:numId w:val="1001"/>
        </w:numPr>
      </w:pPr>
      <w:r>
        <w:t xml:space="preserve">Risk oversight</w:t>
      </w:r>
    </w:p>
    <w:p>
      <w:pPr>
        <w:pStyle w:val="Compact"/>
        <w:numPr>
          <w:ilvl w:val="0"/>
          <w:numId w:val="1001"/>
        </w:numPr>
      </w:pPr>
      <w:r>
        <w:t xml:space="preserve">Transparency and disclosure</w:t>
      </w:r>
    </w:p>
    <w:p>
      <w:pPr>
        <w:pStyle w:val="Compact"/>
        <w:numPr>
          <w:ilvl w:val="0"/>
          <w:numId w:val="1001"/>
        </w:numPr>
      </w:pPr>
      <w:r>
        <w:t xml:space="preserve">Compliance with applicable laws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5f2c991400d1715f7a7d2c7946393966e56fe11"/>
      <w:r>
        <w:t xml:space="preserve">2. Board Composition (Post-Seed)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Seat</w:t>
            </w:r>
          </w:p>
        </w:tc>
        <w:tc>
          <w:tcPr/>
          <w:p>
            <w:pPr>
              <w:pStyle w:val="Compact"/>
            </w:pPr>
            <w:r>
              <w:t xml:space="preserve">Appointer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Director 1</w:t>
            </w:r>
          </w:p>
        </w:tc>
        <w:tc>
          <w:tcPr/>
          <w:p>
            <w:pPr>
              <w:pStyle w:val="Compact"/>
            </w:pPr>
            <w:r>
              <w:t xml:space="preserve">Founder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Director 2</w:t>
            </w:r>
          </w:p>
        </w:tc>
        <w:tc>
          <w:tcPr/>
          <w:p>
            <w:pPr>
              <w:pStyle w:val="Compact"/>
            </w:pPr>
            <w:r>
              <w:t xml:space="preserve">Founder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Director 3</w:t>
            </w:r>
          </w:p>
        </w:tc>
        <w:tc>
          <w:tcPr/>
          <w:p>
            <w:pPr>
              <w:pStyle w:val="Compact"/>
            </w:pPr>
            <w:r>
              <w:t xml:space="preserve">Lead Investor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Observers:</w:t>
      </w:r>
      <w:r>
        <w:t xml:space="preserve"> </w:t>
      </w:r>
      <w:r>
        <w:t xml:space="preserve">Optional, at Board discretion.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ce8dd116339a4983f48b97825f03c298cd56968"/>
      <w:r>
        <w:t xml:space="preserve">3. Board Cadence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Meeting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 Meeting</w:t>
            </w:r>
          </w:p>
        </w:tc>
        <w:tc>
          <w:tcPr/>
          <w:p>
            <w:pPr>
              <w:pStyle w:val="Compact"/>
            </w:pPr>
            <w:r>
              <w:t xml:space="preserve">Quarterly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Executive Session</w:t>
            </w:r>
          </w:p>
        </w:tc>
        <w:tc>
          <w:tcPr/>
          <w:p>
            <w:pPr>
              <w:pStyle w:val="Compact"/>
            </w:pPr>
            <w:r>
              <w:t xml:space="preserve">As needed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Annual General Meeting</w:t>
            </w:r>
          </w:p>
        </w:tc>
        <w:tc>
          <w:tcPr/>
          <w:p>
            <w:pPr>
              <w:pStyle w:val="Compact"/>
            </w:pPr>
            <w:r>
              <w:t xml:space="preserve">Annually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ea98c63f684b92e9b88c23e8eca50a5eaea6fad"/>
      <w:r>
        <w:t xml:space="preserve">4. Reserved Matters (Investor Consent)</w:t>
      </w:r>
    </w:p>
    <w:p>
      <w:pPr>
        <w:pStyle w:val="Compact"/>
        <w:numPr>
          <w:ilvl w:val="0"/>
          <w:numId w:val="1002"/>
        </w:numPr>
      </w:pPr>
      <w:r>
        <w:t xml:space="preserve">Amendments to Articles</w:t>
      </w:r>
    </w:p>
    <w:p>
      <w:pPr>
        <w:pStyle w:val="Compact"/>
        <w:numPr>
          <w:ilvl w:val="0"/>
          <w:numId w:val="1002"/>
        </w:numPr>
      </w:pPr>
      <w:r>
        <w:t xml:space="preserve">New share issuance (except ESOP)</w:t>
      </w:r>
    </w:p>
    <w:p>
      <w:pPr>
        <w:pStyle w:val="Compact"/>
        <w:numPr>
          <w:ilvl w:val="0"/>
          <w:numId w:val="1002"/>
        </w:numPr>
      </w:pPr>
      <w:r>
        <w:t xml:space="preserve">M&amp;A, IPO, liquidation</w:t>
      </w:r>
    </w:p>
    <w:p>
      <w:pPr>
        <w:pStyle w:val="Compact"/>
        <w:numPr>
          <w:ilvl w:val="0"/>
          <w:numId w:val="1002"/>
        </w:numPr>
      </w:pPr>
      <w:r>
        <w:t xml:space="preserve">Debt above SAR 500,000</w:t>
      </w:r>
    </w:p>
    <w:p>
      <w:pPr>
        <w:pStyle w:val="Compact"/>
        <w:numPr>
          <w:ilvl w:val="0"/>
          <w:numId w:val="1002"/>
        </w:numPr>
      </w:pPr>
      <w:r>
        <w:t xml:space="preserve">Related-party transactions</w:t>
      </w:r>
    </w:p>
    <w:p>
      <w:pPr>
        <w:pStyle w:val="Compact"/>
        <w:numPr>
          <w:ilvl w:val="0"/>
          <w:numId w:val="1002"/>
        </w:numPr>
      </w:pPr>
      <w:r>
        <w:t xml:space="preserve">Appointment/removal of CEO, CFO</w:t>
      </w:r>
    </w:p>
    <w:p>
      <w:pPr>
        <w:pStyle w:val="Compact"/>
        <w:numPr>
          <w:ilvl w:val="0"/>
          <w:numId w:val="1002"/>
        </w:numPr>
      </w:pPr>
      <w:r>
        <w:t xml:space="preserve">Dividend declaration</w:t>
      </w:r>
    </w:p>
    <w:p>
      <w:pPr>
        <w:pStyle w:val="Compact"/>
        <w:numPr>
          <w:ilvl w:val="0"/>
          <w:numId w:val="1002"/>
        </w:numPr>
      </w:pPr>
      <w:r>
        <w:t xml:space="preserve">Sale of material IP</w:t>
      </w:r>
    </w:p>
    <w:p>
      <w:pPr>
        <w:pStyle w:val="Compact"/>
        <w:numPr>
          <w:ilvl w:val="0"/>
          <w:numId w:val="1002"/>
        </w:numPr>
      </w:pPr>
      <w:r>
        <w:t xml:space="preserve">Any transaction above SAR 1,000,000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committees"/>
      <w:r>
        <w:t xml:space="preserve">5. Committees</w:t>
      </w:r>
    </w:p>
    <w:p>
      <w:pPr>
        <w:pStyle w:val="FirstParagraph"/>
      </w:pPr>
      <w:r>
        <w:rPr>
          <w:b/>
          <w:bCs/>
        </w:rPr>
        <w:t xml:space="preserve">At Seed:</w:t>
      </w:r>
      <w:r>
        <w:t xml:space="preserve"> </w:t>
      </w:r>
      <w:r>
        <w:t xml:space="preserve">No formal committees. Board governs directly.</w:t>
      </w:r>
    </w:p>
    <w:p>
      <w:pPr>
        <w:pStyle w:val="BodyText"/>
      </w:pPr>
      <w:r>
        <w:rPr>
          <w:b/>
          <w:bCs/>
        </w:rPr>
        <w:t xml:space="preserve">At Series A:</w:t>
      </w:r>
      <w:r>
        <w:t xml:space="preserve"> </w:t>
      </w:r>
      <w:r>
        <w:t xml:space="preserve">- Audit Committee</w:t>
      </w:r>
      <w:r>
        <w:t xml:space="preserve"> </w:t>
      </w:r>
      <w:r>
        <w:t xml:space="preserve">- Compensation Committee</w:t>
      </w:r>
      <w:r>
        <w:t xml:space="preserve"> </w:t>
      </w:r>
      <w:r>
        <w:t xml:space="preserve">- Risk Committee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7d5c36065ecc447de0dcb2dd36cb2bde61416f8"/>
      <w:r>
        <w:t xml:space="preserve">6. Delegation of Authority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Decision</w:t>
            </w:r>
          </w:p>
        </w:tc>
        <w:tc>
          <w:tcPr/>
          <w:p>
            <w:pPr>
              <w:pStyle w:val="Compact"/>
            </w:pPr>
            <w:r>
              <w:t xml:space="preserve">Authority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OPEX &lt; SAR 50K</w:t>
            </w:r>
          </w:p>
        </w:tc>
        <w:tc>
          <w:tcPr/>
          <w:p>
            <w:pPr>
              <w:pStyle w:val="Compact"/>
            </w:pPr>
            <w:r>
              <w:t xml:space="preserve">CEO / CxO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OPEX 50K – 250K</w:t>
            </w:r>
          </w:p>
        </w:tc>
        <w:tc>
          <w:tcPr/>
          <w:p>
            <w:pPr>
              <w:pStyle w:val="Compact"/>
            </w:pPr>
            <w:r>
              <w:t xml:space="preserve">CEO + CFO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OPEX &gt; 250K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Hiring &lt; VP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Hiring VP+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Contracts &lt; SAR 500K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Contracts &gt; SAR 500K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c89ba52446940d0bf39338daaa9adc55a8104a6"/>
      <w:r>
        <w:t xml:space="preserve">7. Policies in Place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Policy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Code of Conduct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Anti-Bribery &amp; Corruption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Conflicts of Interest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Insider Trading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Related-Party Transactions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Whistleblower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Governance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ESG &amp; Sustainability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e40825f3471c05de2d6259ab101ca81d48b080d"/>
      <w:r>
        <w:t xml:space="preserve">8. Compliance &amp; Ethics</w:t>
      </w:r>
    </w:p>
    <w:p>
      <w:pPr>
        <w:pStyle w:val="Compact"/>
        <w:numPr>
          <w:ilvl w:val="0"/>
          <w:numId w:val="1003"/>
        </w:numPr>
      </w:pPr>
      <w:r>
        <w:t xml:space="preserve">Ethics code enforced</w:t>
      </w:r>
    </w:p>
    <w:p>
      <w:pPr>
        <w:pStyle w:val="Compact"/>
        <w:numPr>
          <w:ilvl w:val="0"/>
          <w:numId w:val="1003"/>
        </w:numPr>
      </w:pPr>
      <w:r>
        <w:t xml:space="preserve">Whistleblower channel available</w:t>
      </w:r>
    </w:p>
    <w:p>
      <w:pPr>
        <w:pStyle w:val="Compact"/>
        <w:numPr>
          <w:ilvl w:val="0"/>
          <w:numId w:val="1003"/>
        </w:numPr>
      </w:pPr>
      <w:r>
        <w:t xml:space="preserve">Related-party transactions disclosed</w:t>
      </w:r>
    </w:p>
    <w:p>
      <w:pPr>
        <w:pStyle w:val="Compact"/>
        <w:numPr>
          <w:ilvl w:val="0"/>
          <w:numId w:val="1003"/>
        </w:numPr>
      </w:pPr>
      <w:r>
        <w:t xml:space="preserve">Insider trading prohibited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_disclaimer"/>
      <w:r>
        <w:t xml:space="preserve">9. Disclaimer</w:t>
      </w:r>
    </w:p>
    <w:p>
      <w:pPr>
        <w:pStyle w:val="FirstParagraph"/>
      </w:pPr>
      <w:r>
        <w:t xml:space="preserve">This Governance Framework is a planning document. Final governance structure will be documented in definitive agreements at closing.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Governance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Governance Framework</dc:title>
  <dc:creator>HISN Platform</dc:creator>
  <cp:keywords>HISN, FCDOS, financial crime, decision operating system</cp:keywords>
  <dcterms:created xsi:type="dcterms:W3CDTF">2026-10-14T13:16:32Z</dcterms:created>
  <dcterms:modified xsi:type="dcterms:W3CDTF">2026-10-14T13:16:32Z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