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01_Master_Policies_Index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24e17951bd9d167ec2715cb2904ee9030bea61a"/>
      <w:r>
        <w:t xml:space="preserve">MASTER POLICIES INDEX</w:t>
      </w:r>
    </w:p>
    <w:p>
      <w:pPr>
        <w:pStyle w:val="FirstParagraph"/>
      </w:pPr>
      <w:r>
        <w:rPr>
          <w:b/>
          <w:bCs/>
        </w:rPr>
        <w:t xml:space="preserve">HISN Platform | Consolidated Policy Register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 |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1.0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a2bc9ce5ec46933d1715be80a06b96e406606f1"/>
      <w:r>
        <w:t xml:space="preserve">1. Policy Framework</w:t>
      </w:r>
    </w:p>
    <w:p>
      <w:pPr>
        <w:pStyle w:val="FirstParagraph"/>
      </w:pPr>
      <w:r>
        <w:t xml:space="preserve">HISN maintains a comprehensive policy framework covering governance, security, compliance, operations, and HR. Policies are reviewed annually and updated as needed.</w:t>
      </w:r>
    </w:p>
    <w:p>
      <w:pPr>
        <w:pStyle w:val="Heading2"/>
      </w:pPr>
      <w:bookmarkStart w:id="11" w:name="_d4a481cf7330475f3e3bce4855174cf853475ff"/>
      <w:r>
        <w:t xml:space="preserve">2. Governance Policies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Policy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G1</w:t>
            </w:r>
          </w:p>
        </w:tc>
        <w:tc>
          <w:tcPr/>
          <w:p>
            <w:pPr>
              <w:pStyle w:val="Compact"/>
            </w:pPr>
            <w:r>
              <w:t xml:space="preserve">Board Charter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G2</w:t>
            </w:r>
          </w:p>
        </w:tc>
        <w:tc>
          <w:tcPr/>
          <w:p>
            <w:pPr>
              <w:pStyle w:val="Compact"/>
            </w:pPr>
            <w:r>
              <w:t xml:space="preserve">Reserved Matters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G3</w:t>
            </w:r>
          </w:p>
        </w:tc>
        <w:tc>
          <w:tcPr/>
          <w:p>
            <w:pPr>
              <w:pStyle w:val="Compact"/>
            </w:pPr>
            <w:r>
              <w:t xml:space="preserve">Delegation of Authority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G4</w:t>
            </w:r>
          </w:p>
        </w:tc>
        <w:tc>
          <w:tcPr/>
          <w:p>
            <w:pPr>
              <w:pStyle w:val="Compact"/>
            </w:pPr>
            <w:r>
              <w:t xml:space="preserve">Conflicts of Interest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G5</w:t>
            </w:r>
          </w:p>
        </w:tc>
        <w:tc>
          <w:tcPr/>
          <w:p>
            <w:pPr>
              <w:pStyle w:val="Compact"/>
            </w:pPr>
            <w:r>
              <w:t xml:space="preserve">Whistleblower Policy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G6</w:t>
            </w:r>
          </w:p>
        </w:tc>
        <w:tc>
          <w:tcPr/>
          <w:p>
            <w:pPr>
              <w:pStyle w:val="Compact"/>
            </w:pPr>
            <w:r>
              <w:t xml:space="preserve">Code of Conduct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G7</w:t>
            </w:r>
          </w:p>
        </w:tc>
        <w:tc>
          <w:tcPr/>
          <w:p>
            <w:pPr>
              <w:pStyle w:val="Compact"/>
            </w:pPr>
            <w:r>
              <w:t xml:space="preserve">Anti-Bribery &amp; Corruption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G8</w:t>
            </w:r>
          </w:p>
        </w:tc>
        <w:tc>
          <w:tcPr/>
          <w:p>
            <w:pPr>
              <w:pStyle w:val="Compact"/>
            </w:pPr>
            <w:r>
              <w:t xml:space="preserve">Insider Trading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G9</w:t>
            </w:r>
          </w:p>
        </w:tc>
        <w:tc>
          <w:tcPr/>
          <w:p>
            <w:pPr>
              <w:pStyle w:val="Compact"/>
            </w:pPr>
            <w:r>
              <w:t xml:space="preserve">Related Party Transactions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G10</w:t>
            </w:r>
          </w:p>
        </w:tc>
        <w:tc>
          <w:tcPr/>
          <w:p>
            <w:pPr>
              <w:pStyle w:val="Compact"/>
            </w:pPr>
            <w:r>
              <w:t xml:space="preserve">Audit Committee Charter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G11</w:t>
            </w:r>
          </w:p>
        </w:tc>
        <w:tc>
          <w:tcPr/>
          <w:p>
            <w:pPr>
              <w:pStyle w:val="Compact"/>
            </w:pPr>
            <w:r>
              <w:t xml:space="preserve">Compensation Committee Charter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G12</w:t>
            </w:r>
          </w:p>
        </w:tc>
        <w:tc>
          <w:tcPr/>
          <w:p>
            <w:pPr>
              <w:pStyle w:val="Compact"/>
            </w:pPr>
            <w:r>
              <w:t xml:space="preserve">Risk Committee Charter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G13</w:t>
            </w:r>
          </w:p>
        </w:tc>
        <w:tc>
          <w:tcPr/>
          <w:p>
            <w:pPr>
              <w:pStyle w:val="Compact"/>
            </w:pPr>
            <w:r>
              <w:t xml:space="preserve">Data Governance Policy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G14</w:t>
            </w:r>
          </w:p>
        </w:tc>
        <w:tc>
          <w:tcPr/>
          <w:p>
            <w:pPr>
              <w:pStyle w:val="Compact"/>
            </w:pPr>
            <w:r>
              <w:t xml:space="preserve">ESG &amp; Sustainability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</w:tbl>
    <w:p>
      <w:pPr>
        <w:pStyle w:val="Heading2"/>
      </w:pPr>
      <w:bookmarkStart w:id="12" w:name="_0c1de57b3b11e0620930bd2bc0f072fef40d5f6"/>
      <w:r>
        <w:t xml:space="preserve">3. Security Policies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Policy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</w:t>
            </w:r>
          </w:p>
        </w:tc>
        <w:tc>
          <w:tcPr/>
          <w:p>
            <w:pPr>
              <w:pStyle w:val="Compact"/>
            </w:pPr>
            <w:r>
              <w:t xml:space="preserve">Security Architecture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S2</w:t>
            </w:r>
          </w:p>
        </w:tc>
        <w:tc>
          <w:tcPr/>
          <w:p>
            <w:pPr>
              <w:pStyle w:val="Compact"/>
            </w:pPr>
            <w:r>
              <w:t xml:space="preserve">Cryptography Policy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S3</w:t>
            </w:r>
          </w:p>
        </w:tc>
        <w:tc>
          <w:tcPr/>
          <w:p>
            <w:pPr>
              <w:pStyle w:val="Compact"/>
            </w:pPr>
            <w:r>
              <w:t xml:space="preserve">Data Classification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S4</w:t>
            </w:r>
          </w:p>
        </w:tc>
        <w:tc>
          <w:tcPr/>
          <w:p>
            <w:pPr>
              <w:pStyle w:val="Compact"/>
            </w:pPr>
            <w:r>
              <w:t xml:space="preserve">Access Control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S5</w:t>
            </w:r>
          </w:p>
        </w:tc>
        <w:tc>
          <w:tcPr/>
          <w:p>
            <w:pPr>
              <w:pStyle w:val="Compact"/>
            </w:pPr>
            <w:r>
              <w:t xml:space="preserve">Incident Response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Semi-annual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S6</w:t>
            </w:r>
          </w:p>
        </w:tc>
        <w:tc>
          <w:tcPr/>
          <w:p>
            <w:pPr>
              <w:pStyle w:val="Compact"/>
            </w:pPr>
            <w:r>
              <w:t xml:space="preserve">Vulnerability Management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S7</w:t>
            </w:r>
          </w:p>
        </w:tc>
        <w:tc>
          <w:tcPr/>
          <w:p>
            <w:pPr>
              <w:pStyle w:val="Compact"/>
            </w:pPr>
            <w:r>
              <w:t xml:space="preserve">Business Continuity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S8</w:t>
            </w:r>
          </w:p>
        </w:tc>
        <w:tc>
          <w:tcPr/>
          <w:p>
            <w:pPr>
              <w:pStyle w:val="Compact"/>
            </w:pPr>
            <w:r>
              <w:t xml:space="preserve">Disaster Recovery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Semi-annual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S9</w:t>
            </w:r>
          </w:p>
        </w:tc>
        <w:tc>
          <w:tcPr/>
          <w:p>
            <w:pPr>
              <w:pStyle w:val="Compact"/>
            </w:pPr>
            <w:r>
              <w:t xml:space="preserve">Vendor Management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S10</w:t>
            </w:r>
          </w:p>
        </w:tc>
        <w:tc>
          <w:tcPr/>
          <w:p>
            <w:pPr>
              <w:pStyle w:val="Compact"/>
            </w:pPr>
            <w:r>
              <w:t xml:space="preserve">Secrets Management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S11</w:t>
            </w:r>
          </w:p>
        </w:tc>
        <w:tc>
          <w:tcPr/>
          <w:p>
            <w:pPr>
              <w:pStyle w:val="Compact"/>
            </w:pPr>
            <w:r>
              <w:t xml:space="preserve">Secure Coding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S12</w:t>
            </w:r>
          </w:p>
        </w:tc>
        <w:tc>
          <w:tcPr/>
          <w:p>
            <w:pPr>
              <w:pStyle w:val="Compact"/>
            </w:pPr>
            <w:r>
              <w:t xml:space="preserve">Resilience &amp; Adversarial Testing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</w:tbl>
    <w:p>
      <w:pPr>
        <w:pStyle w:val="Heading2"/>
      </w:pPr>
      <w:bookmarkStart w:id="13" w:name="_f73967531afb9514efd44562942e6291c7c1444"/>
      <w:r>
        <w:t xml:space="preserve">4. Compliance Policies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Policy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C1</w:t>
            </w:r>
          </w:p>
        </w:tc>
        <w:tc>
          <w:tcPr/>
          <w:p>
            <w:pPr>
              <w:pStyle w:val="Compact"/>
            </w:pPr>
            <w:r>
              <w:t xml:space="preserve">AML (Vendor)</w:t>
            </w:r>
          </w:p>
        </w:tc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C2</w:t>
            </w:r>
          </w:p>
        </w:tc>
        <w:tc>
          <w:tcPr/>
          <w:p>
            <w:pPr>
              <w:pStyle w:val="Compact"/>
            </w:pPr>
            <w:r>
              <w:t xml:space="preserve">KYC (Vendor)</w:t>
            </w:r>
          </w:p>
        </w:tc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C3</w:t>
            </w:r>
          </w:p>
        </w:tc>
        <w:tc>
          <w:tcPr/>
          <w:p>
            <w:pPr>
              <w:pStyle w:val="Compact"/>
            </w:pPr>
            <w:r>
              <w:t xml:space="preserve">Sanctions</w:t>
            </w:r>
          </w:p>
        </w:tc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C4</w:t>
            </w:r>
          </w:p>
        </w:tc>
        <w:tc>
          <w:tcPr/>
          <w:p>
            <w:pPr>
              <w:pStyle w:val="Compact"/>
            </w:pPr>
            <w:r>
              <w:t xml:space="preserve">PDPL</w:t>
            </w:r>
          </w:p>
        </w:tc>
        <w:tc>
          <w:tcPr/>
          <w:p>
            <w:pPr>
              <w:pStyle w:val="Compact"/>
            </w:pPr>
            <w:r>
              <w:t xml:space="preserve">DPO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C5</w:t>
            </w:r>
          </w:p>
        </w:tc>
        <w:tc>
          <w:tcPr/>
          <w:p>
            <w:pPr>
              <w:pStyle w:val="Compact"/>
            </w:pPr>
            <w:r>
              <w:t xml:space="preserve">Data Retention</w:t>
            </w:r>
          </w:p>
        </w:tc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C6</w:t>
            </w:r>
          </w:p>
        </w:tc>
        <w:tc>
          <w:tcPr/>
          <w:p>
            <w:pPr>
              <w:pStyle w:val="Compact"/>
            </w:pPr>
            <w:r>
              <w:t xml:space="preserve">Data Subject Rights</w:t>
            </w:r>
          </w:p>
        </w:tc>
        <w:tc>
          <w:tcPr/>
          <w:p>
            <w:pPr>
              <w:pStyle w:val="Compact"/>
            </w:pPr>
            <w:r>
              <w:t xml:space="preserve">DPO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C7</w:t>
            </w:r>
          </w:p>
        </w:tc>
        <w:tc>
          <w:tcPr/>
          <w:p>
            <w:pPr>
              <w:pStyle w:val="Compact"/>
            </w:pPr>
            <w:r>
              <w:t xml:space="preserve">Breach Notification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C8</w:t>
            </w:r>
          </w:p>
        </w:tc>
        <w:tc>
          <w:tcPr/>
          <w:p>
            <w:pPr>
              <w:pStyle w:val="Compact"/>
            </w:pPr>
            <w:r>
              <w:t xml:space="preserve">Cross-Border Transfer</w:t>
            </w:r>
          </w:p>
        </w:tc>
        <w:tc>
          <w:tcPr/>
          <w:p>
            <w:pPr>
              <w:pStyle w:val="Compact"/>
            </w:pPr>
            <w:r>
              <w:t xml:space="preserve">DPO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C9</w:t>
            </w:r>
          </w:p>
        </w:tc>
        <w:tc>
          <w:tcPr/>
          <w:p>
            <w:pPr>
              <w:pStyle w:val="Compact"/>
            </w:pPr>
            <w:r>
              <w:t xml:space="preserve">Compliance Training</w:t>
            </w:r>
          </w:p>
        </w:tc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</w:tbl>
    <w:p>
      <w:pPr>
        <w:pStyle w:val="Heading2"/>
      </w:pPr>
      <w:bookmarkStart w:id="14" w:name="_072a2e5a80fc338045ee55a15b10c74e5717682"/>
      <w:r>
        <w:t xml:space="preserve">5. HR Policies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Policy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H1</w:t>
            </w:r>
          </w:p>
        </w:tc>
        <w:tc>
          <w:tcPr/>
          <w:p>
            <w:pPr>
              <w:pStyle w:val="Compact"/>
            </w:pPr>
            <w:r>
              <w:t xml:space="preserve">Employee Handbook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H2</w:t>
            </w:r>
          </w:p>
        </w:tc>
        <w:tc>
          <w:tcPr/>
          <w:p>
            <w:pPr>
              <w:pStyle w:val="Compact"/>
            </w:pPr>
            <w:r>
              <w:t xml:space="preserve">Compensation Bands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H3</w:t>
            </w:r>
          </w:p>
        </w:tc>
        <w:tc>
          <w:tcPr/>
          <w:p>
            <w:pPr>
              <w:pStyle w:val="Compact"/>
            </w:pPr>
            <w:r>
              <w:t xml:space="preserve">HR Policies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H4</w:t>
            </w:r>
          </w:p>
        </w:tc>
        <w:tc>
          <w:tcPr/>
          <w:p>
            <w:pPr>
              <w:pStyle w:val="Compact"/>
            </w:pPr>
            <w:r>
              <w:t xml:space="preserve">Remote Work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H5</w:t>
            </w:r>
          </w:p>
        </w:tc>
        <w:tc>
          <w:tcPr/>
          <w:p>
            <w:pPr>
              <w:pStyle w:val="Compact"/>
            </w:pPr>
            <w:r>
              <w:t xml:space="preserve">Non-Compete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H6</w:t>
            </w:r>
          </w:p>
        </w:tc>
        <w:tc>
          <w:tcPr/>
          <w:p>
            <w:pPr>
              <w:pStyle w:val="Compact"/>
            </w:pPr>
            <w:r>
              <w:t xml:space="preserve">Non-Solicit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</w:tbl>
    <w:p>
      <w:pPr>
        <w:pStyle w:val="Heading2"/>
      </w:pPr>
      <w:bookmarkStart w:id="15" w:name="_0f79eba2d1e8d602f974747f46b8316bf5c026f"/>
      <w:r>
        <w:t xml:space="preserve">6. Operational Policies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Policy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O1</w:t>
            </w:r>
          </w:p>
        </w:tc>
        <w:tc>
          <w:tcPr/>
          <w:p>
            <w:pPr>
              <w:pStyle w:val="Compact"/>
            </w:pPr>
            <w:r>
              <w:t xml:space="preserve">IT Policy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O2</w:t>
            </w:r>
          </w:p>
        </w:tc>
        <w:tc>
          <w:tcPr/>
          <w:p>
            <w:pPr>
              <w:pStyle w:val="Compact"/>
            </w:pPr>
            <w:r>
              <w:t xml:space="preserve">Procurement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O3</w:t>
            </w:r>
          </w:p>
        </w:tc>
        <w:tc>
          <w:tcPr/>
          <w:p>
            <w:pPr>
              <w:pStyle w:val="Compact"/>
            </w:pPr>
            <w:r>
              <w:t xml:space="preserve">Change Management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O4</w:t>
            </w:r>
          </w:p>
        </w:tc>
        <w:tc>
          <w:tcPr/>
          <w:p>
            <w:pPr>
              <w:pStyle w:val="Compact"/>
            </w:pPr>
            <w:r>
              <w:t xml:space="preserve">Service Delivery</w:t>
            </w:r>
          </w:p>
        </w:tc>
        <w:tc>
          <w:tcPr/>
          <w:p>
            <w:pPr>
              <w:pStyle w:val="Compact"/>
            </w:pPr>
            <w:r>
              <w:t xml:space="preserve">VP Delivery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O5</w:t>
            </w:r>
          </w:p>
        </w:tc>
        <w:tc>
          <w:tcPr/>
          <w:p>
            <w:pPr>
              <w:pStyle w:val="Compact"/>
            </w:pPr>
            <w:r>
              <w:t xml:space="preserve">Customer Support</w:t>
            </w:r>
          </w:p>
        </w:tc>
        <w:tc>
          <w:tcPr/>
          <w:p>
            <w:pPr>
              <w:pStyle w:val="Compact"/>
            </w:pPr>
            <w:r>
              <w:t xml:space="preserve">VP CS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O6</w:t>
            </w:r>
          </w:p>
        </w:tc>
        <w:tc>
          <w:tcPr/>
          <w:p>
            <w:pPr>
              <w:pStyle w:val="Compact"/>
            </w:pPr>
            <w:r>
              <w:t xml:space="preserve">Partner Program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</w:tbl>
    <w:p>
      <w:pPr>
        <w:pStyle w:val="Heading2"/>
      </w:pPr>
      <w:bookmarkStart w:id="16" w:name="_4014075bdc468c0923f406688d686d9722b72a9"/>
      <w:r>
        <w:t xml:space="preserve">7. Financial Policies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Policy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F1</w:t>
            </w:r>
          </w:p>
        </w:tc>
        <w:tc>
          <w:tcPr/>
          <w:p>
            <w:pPr>
              <w:pStyle w:val="Compact"/>
            </w:pPr>
            <w:r>
              <w:t xml:space="preserve">Chart of Accounts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Tax Compliance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Internal Controls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F4</w:t>
            </w:r>
          </w:p>
        </w:tc>
        <w:tc>
          <w:tcPr/>
          <w:p>
            <w:pPr>
              <w:pStyle w:val="Compact"/>
            </w:pPr>
            <w:r>
              <w:t xml:space="preserve">Audit Readiness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</w:tbl>
    <w:p>
      <w:pPr>
        <w:pStyle w:val="Heading2"/>
      </w:pPr>
      <w:bookmarkStart w:id="17" w:name="_fe0377ecd577035c5bb36df8c968b4b521bba55"/>
      <w:r>
        <w:t xml:space="preserve">8. Policy Review Cycle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Policy Type</w:t>
            </w:r>
          </w:p>
        </w:tc>
        <w:tc>
          <w:tcPr/>
          <w:p>
            <w:pPr>
              <w:pStyle w:val="Compact"/>
            </w:pPr>
            <w:r>
              <w:t xml:space="preserve">Review 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Governance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Annual (quarterly for access)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HR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Operational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</w:tr>
    </w:tbl>
    <w:p>
      <w:pPr>
        <w:pStyle w:val="Heading2"/>
      </w:pPr>
      <w:bookmarkStart w:id="18" w:name="_e17b271c05d3ee88a76d478280e2855eb2d5538"/>
      <w:r>
        <w:t xml:space="preserve">9. Policy Approval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Policy Type</w:t>
            </w:r>
          </w:p>
        </w:tc>
        <w:tc>
          <w:tcPr/>
          <w:p>
            <w:pPr>
              <w:pStyle w:val="Compact"/>
            </w:pPr>
            <w:r>
              <w:t xml:space="preserve">Approver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Governance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CISO + 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CISO + DPO</w:t>
            </w:r>
          </w:p>
        </w:tc>
      </w:tr>
      <w:tr>
        <w:tc>
          <w:tcPr/>
          <w:p>
            <w:pPr>
              <w:pStyle w:val="Compact"/>
            </w:pPr>
            <w:r>
              <w:t xml:space="preserve">HR</w:t>
            </w:r>
          </w:p>
        </w:tc>
        <w:tc>
          <w:tcPr/>
          <w:p>
            <w:pPr>
              <w:pStyle w:val="Compact"/>
            </w:pPr>
            <w:r>
              <w:t xml:space="preserve">COO + 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Operational</w:t>
            </w:r>
          </w:p>
        </w:tc>
        <w:tc>
          <w:tcPr/>
          <w:p>
            <w:pPr>
              <w:pStyle w:val="Compact"/>
            </w:pPr>
            <w:r>
              <w:t xml:space="preserve">Relevant CxO + 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</w:t>
            </w:r>
          </w:p>
        </w:tc>
        <w:tc>
          <w:tcPr/>
          <w:p>
            <w:pPr>
              <w:pStyle w:val="Compact"/>
            </w:pPr>
            <w:r>
              <w:t xml:space="preserve">CFO + CEO</w:t>
            </w:r>
          </w:p>
        </w:tc>
      </w:tr>
    </w:tbl>
    <w:p>
      <w:pPr>
        <w:pStyle w:val="Heading2"/>
      </w:pPr>
      <w:bookmarkStart w:id="19" w:name="_1867657959eca4ccbe8cb4575f6a4145ffea880"/>
      <w:r>
        <w:t xml:space="preserve">10. Policy Exceptions</w:t>
      </w:r>
    </w:p>
    <w:p>
      <w:pPr>
        <w:pStyle w:val="Compact"/>
        <w:numPr>
          <w:ilvl w:val="0"/>
          <w:numId w:val="1001"/>
        </w:numPr>
      </w:pPr>
      <w:r>
        <w:t xml:space="preserve">Documented in exception register</w:t>
      </w:r>
    </w:p>
    <w:p>
      <w:pPr>
        <w:pStyle w:val="Compact"/>
        <w:numPr>
          <w:ilvl w:val="0"/>
          <w:numId w:val="1001"/>
        </w:numPr>
      </w:pPr>
      <w:r>
        <w:t xml:space="preserve">Approved by CxO + CEO</w:t>
      </w:r>
    </w:p>
    <w:p>
      <w:pPr>
        <w:pStyle w:val="Compact"/>
        <w:numPr>
          <w:ilvl w:val="0"/>
          <w:numId w:val="1001"/>
        </w:numPr>
      </w:pPr>
      <w:r>
        <w:t xml:space="preserve">Reviewed quarterly</w:t>
      </w:r>
    </w:p>
    <w:p>
      <w:pPr>
        <w:pStyle w:val="Compact"/>
        <w:numPr>
          <w:ilvl w:val="0"/>
          <w:numId w:val="1001"/>
        </w:numPr>
      </w:pPr>
      <w:r>
        <w:t xml:space="preserve">Reported to Board if material</w:t>
      </w:r>
    </w:p>
    <w:p>
      <w:pPr>
        <w:pStyle w:val="Heading2"/>
      </w:pPr>
      <w:bookmarkStart w:id="20" w:name="_8592e9d529131f8d758b708fb4820bbc6884ba6"/>
      <w:r>
        <w:t xml:space="preserve">11. Policy Distribution</w:t>
      </w:r>
    </w:p>
    <w:p>
      <w:pPr>
        <w:pStyle w:val="Compact"/>
        <w:numPr>
          <w:ilvl w:val="0"/>
          <w:numId w:val="1002"/>
        </w:numPr>
      </w:pPr>
      <w:r>
        <w:t xml:space="preserve">Stored in Data Room (folder 11, 16, 17, 19)</w:t>
      </w:r>
    </w:p>
    <w:p>
      <w:pPr>
        <w:pStyle w:val="Compact"/>
        <w:numPr>
          <w:ilvl w:val="0"/>
          <w:numId w:val="1002"/>
        </w:numPr>
      </w:pPr>
      <w:r>
        <w:t xml:space="preserve">Available to employees (intranet)</w:t>
      </w:r>
    </w:p>
    <w:p>
      <w:pPr>
        <w:pStyle w:val="Compact"/>
        <w:numPr>
          <w:ilvl w:val="0"/>
          <w:numId w:val="1002"/>
        </w:numPr>
      </w:pPr>
      <w:r>
        <w:t xml:space="preserve">Acknowledged by employees annually</w:t>
      </w:r>
    </w:p>
    <w:p>
      <w:pPr>
        <w:pStyle w:val="Compact"/>
        <w:numPr>
          <w:ilvl w:val="0"/>
          <w:numId w:val="1002"/>
        </w:numPr>
      </w:pPr>
      <w:r>
        <w:t xml:space="preserve">Reviewed by auditors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Policy framework reviewed annually. Aligned with SAMA CSF, PDPL, NCA ECC, and ISO 27001.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Policies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Master Policies Index</dc:title>
  <dc:creator>HISN Platform</dc:creator>
  <cp:keywords>HISN, FCDOS, financial crime, decision operating system</cp:keywords>
  <dcterms:created xsi:type="dcterms:W3CDTF">2026-10-14T09:44:21Z</dcterms:created>
  <dcterms:modified xsi:type="dcterms:W3CDTF">2026-10-14T09:44:21Z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