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03_Annual_Report_Template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c2bc5a0872b930905b58717e751be593b371a29"/>
      <w:r>
        <w:t xml:space="preserve">ANNUAL REPORT — TEMPLATE</w:t>
      </w:r>
    </w:p>
    <w:p>
      <w:pPr>
        <w:pStyle w:val="FirstParagraph"/>
      </w:pPr>
      <w:r>
        <w:rPr>
          <w:b/>
          <w:bCs/>
        </w:rPr>
        <w:t xml:space="preserve">HISN FCDOS | Annual Report</w:t>
      </w:r>
      <w:r>
        <w:t xml:space="preserve"> </w:t>
      </w:r>
      <w:r>
        <w:rPr>
          <w:b/>
          <w:bCs/>
        </w:rPr>
        <w:t xml:space="preserve">Fiscal Year:</w:t>
      </w:r>
      <w:r>
        <w:t xml:space="preserve"> </w:t>
      </w:r>
      <w:r>
        <w:t xml:space="preserve">20XX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__________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0c38a501af93545bb4961077dd3f14e91aba31d"/>
      <w:r>
        <w:t xml:space="preserve">1. Letter from the CEO</w:t>
      </w:r>
    </w:p>
    <w:p>
      <w:pPr>
        <w:pStyle w:val="FirstParagraph"/>
      </w:pPr>
      <w:r>
        <w:t xml:space="preserve">[Summary of year, achievements, challenges, outlook]</w:t>
      </w:r>
    </w:p>
    <w:p>
      <w:pPr>
        <w:pStyle w:val="Heading2"/>
      </w:pPr>
      <w:bookmarkStart w:id="11" w:name="_16a182ab35ea4d35f5d173df1104449598096a4"/>
      <w:r>
        <w:t xml:space="preserve">2. Company Overview</w:t>
      </w:r>
    </w:p>
    <w:p>
      <w:pPr>
        <w:pStyle w:val="Compact"/>
        <w:numPr>
          <w:ilvl w:val="0"/>
          <w:numId w:val="1001"/>
        </w:numPr>
      </w:pPr>
      <w:r>
        <w:t xml:space="preserve">Mission</w:t>
      </w:r>
    </w:p>
    <w:p>
      <w:pPr>
        <w:pStyle w:val="Compact"/>
        <w:numPr>
          <w:ilvl w:val="0"/>
          <w:numId w:val="1001"/>
        </w:numPr>
      </w:pPr>
      <w:r>
        <w:t xml:space="preserve">Vision</w:t>
      </w:r>
    </w:p>
    <w:p>
      <w:pPr>
        <w:pStyle w:val="Compact"/>
        <w:numPr>
          <w:ilvl w:val="0"/>
          <w:numId w:val="1001"/>
        </w:numPr>
      </w:pPr>
      <w:r>
        <w:t xml:space="preserve">Values</w:t>
      </w:r>
    </w:p>
    <w:p>
      <w:pPr>
        <w:pStyle w:val="Compact"/>
        <w:numPr>
          <w:ilvl w:val="0"/>
          <w:numId w:val="1001"/>
        </w:numPr>
      </w:pPr>
      <w:r>
        <w:t xml:space="preserve">Key Milestones</w:t>
      </w:r>
    </w:p>
    <w:p>
      <w:pPr>
        <w:pStyle w:val="Heading2"/>
      </w:pPr>
      <w:bookmarkStart w:id="12" w:name="_e4cf38732dfd6205b4eaf14bf409683b34111cf"/>
      <w:r>
        <w:t xml:space="preserve">3. Financial Highlights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FY Prior</w:t>
            </w:r>
          </w:p>
        </w:tc>
        <w:tc>
          <w:tcPr/>
          <w:p>
            <w:pPr>
              <w:pStyle w:val="Compact"/>
            </w:pPr>
            <w:r>
              <w:t xml:space="preserve">FY Current</w:t>
            </w:r>
          </w:p>
        </w:tc>
        <w:tc>
          <w:tcPr/>
          <w:p>
            <w:pPr>
              <w:pStyle w:val="Compact"/>
            </w:pPr>
            <w:r>
              <w:t xml:space="preserve">Growth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Gross Profit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EBITDA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Net Income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ARR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Cash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2"/>
      </w:pPr>
      <w:bookmarkStart w:id="13" w:name="_c01da00fbba7fefb57a55e3b232c34b0064f74d"/>
      <w:r>
        <w:t xml:space="preserve">4. Business Review</w:t>
      </w:r>
    </w:p>
    <w:p>
      <w:pPr>
        <w:pStyle w:val="Heading3"/>
      </w:pPr>
      <w:bookmarkStart w:id="14" w:name="_product"/>
      <w:r>
        <w:t xml:space="preserve">Product</w:t>
      </w:r>
    </w:p>
    <w:p>
      <w:pPr>
        <w:pStyle w:val="Compact"/>
        <w:numPr>
          <w:ilvl w:val="0"/>
          <w:numId w:val="1002"/>
        </w:numPr>
      </w:pPr>
      <w:r>
        <w:t xml:space="preserve">Major releases</w:t>
      </w:r>
    </w:p>
    <w:p>
      <w:pPr>
        <w:pStyle w:val="Compact"/>
        <w:numPr>
          <w:ilvl w:val="0"/>
          <w:numId w:val="1002"/>
        </w:numPr>
      </w:pPr>
      <w:r>
        <w:t xml:space="preserve">Feature adoption</w:t>
      </w:r>
    </w:p>
    <w:p>
      <w:pPr>
        <w:pStyle w:val="Compact"/>
        <w:numPr>
          <w:ilvl w:val="0"/>
          <w:numId w:val="1002"/>
        </w:numPr>
      </w:pPr>
      <w:r>
        <w:t xml:space="preserve">Platform metrics</w:t>
      </w:r>
    </w:p>
    <w:p>
      <w:pPr>
        <w:pStyle w:val="Heading3"/>
      </w:pPr>
      <w:bookmarkStart w:id="15" w:name="_commercial"/>
      <w:r>
        <w:t xml:space="preserve">Commercial</w:t>
      </w:r>
    </w:p>
    <w:p>
      <w:pPr>
        <w:pStyle w:val="Compact"/>
        <w:numPr>
          <w:ilvl w:val="0"/>
          <w:numId w:val="1003"/>
        </w:numPr>
      </w:pPr>
      <w:r>
        <w:t xml:space="preserve">Customer wins</w:t>
      </w:r>
    </w:p>
    <w:p>
      <w:pPr>
        <w:pStyle w:val="Compact"/>
        <w:numPr>
          <w:ilvl w:val="0"/>
          <w:numId w:val="1003"/>
        </w:numPr>
      </w:pPr>
      <w:r>
        <w:t xml:space="preserve">Retention</w:t>
      </w:r>
    </w:p>
    <w:p>
      <w:pPr>
        <w:pStyle w:val="Compact"/>
        <w:numPr>
          <w:ilvl w:val="0"/>
          <w:numId w:val="1003"/>
        </w:numPr>
      </w:pPr>
      <w:r>
        <w:t xml:space="preserve">Expansion</w:t>
      </w:r>
    </w:p>
    <w:p>
      <w:pPr>
        <w:pStyle w:val="Compact"/>
        <w:numPr>
          <w:ilvl w:val="0"/>
          <w:numId w:val="1003"/>
        </w:numPr>
      </w:pPr>
      <w:r>
        <w:t xml:space="preserve">Pipeline</w:t>
      </w:r>
    </w:p>
    <w:p>
      <w:pPr>
        <w:pStyle w:val="Heading3"/>
      </w:pPr>
      <w:bookmarkStart w:id="16" w:name="_operations"/>
      <w:r>
        <w:t xml:space="preserve">Operations</w:t>
      </w:r>
    </w:p>
    <w:p>
      <w:pPr>
        <w:pStyle w:val="Compact"/>
        <w:numPr>
          <w:ilvl w:val="0"/>
          <w:numId w:val="1004"/>
        </w:numPr>
      </w:pPr>
      <w:r>
        <w:t xml:space="preserve">Delivery metrics</w:t>
      </w:r>
    </w:p>
    <w:p>
      <w:pPr>
        <w:pStyle w:val="Compact"/>
        <w:numPr>
          <w:ilvl w:val="0"/>
          <w:numId w:val="1004"/>
        </w:numPr>
      </w:pPr>
      <w:r>
        <w:t xml:space="preserve">Support metrics</w:t>
      </w:r>
    </w:p>
    <w:p>
      <w:pPr>
        <w:pStyle w:val="Compact"/>
        <w:numPr>
          <w:ilvl w:val="0"/>
          <w:numId w:val="1004"/>
        </w:numPr>
      </w:pPr>
      <w:r>
        <w:t xml:space="preserve">SLA performance</w:t>
      </w:r>
    </w:p>
    <w:p>
      <w:pPr>
        <w:pStyle w:val="Heading2"/>
      </w:pPr>
      <w:bookmarkStart w:id="17" w:name="_technology"/>
      <w:r>
        <w:t xml:space="preserve">5. Technology</w:t>
      </w:r>
    </w:p>
    <w:p>
      <w:pPr>
        <w:pStyle w:val="Compact"/>
        <w:numPr>
          <w:ilvl w:val="0"/>
          <w:numId w:val="1005"/>
        </w:numPr>
      </w:pPr>
      <w:r>
        <w:t xml:space="preserve">Platform architecture evolution</w:t>
      </w:r>
    </w:p>
    <w:p>
      <w:pPr>
        <w:pStyle w:val="Compact"/>
        <w:numPr>
          <w:ilvl w:val="0"/>
          <w:numId w:val="1005"/>
        </w:numPr>
      </w:pPr>
      <w:r>
        <w:t xml:space="preserve">Security posture</w:t>
      </w:r>
    </w:p>
    <w:p>
      <w:pPr>
        <w:pStyle w:val="Compact"/>
        <w:numPr>
          <w:ilvl w:val="0"/>
          <w:numId w:val="1005"/>
        </w:numPr>
      </w:pPr>
      <w:r>
        <w:t xml:space="preserve">Compliance status</w:t>
      </w:r>
    </w:p>
    <w:p>
      <w:pPr>
        <w:pStyle w:val="Compact"/>
        <w:numPr>
          <w:ilvl w:val="0"/>
          <w:numId w:val="1005"/>
        </w:numPr>
      </w:pPr>
      <w:r>
        <w:t xml:space="preserve">Innovation</w:t>
      </w:r>
    </w:p>
    <w:p>
      <w:pPr>
        <w:pStyle w:val="Heading2"/>
      </w:pPr>
      <w:bookmarkStart w:id="18" w:name="_team"/>
      <w:r>
        <w:t xml:space="preserve">6. Team</w:t>
      </w:r>
    </w:p>
    <w:p>
      <w:pPr>
        <w:pStyle w:val="Compact"/>
        <w:numPr>
          <w:ilvl w:val="0"/>
          <w:numId w:val="1006"/>
        </w:numPr>
      </w:pPr>
      <w:r>
        <w:t xml:space="preserve">Headcount growth</w:t>
      </w:r>
    </w:p>
    <w:p>
      <w:pPr>
        <w:pStyle w:val="Compact"/>
        <w:numPr>
          <w:ilvl w:val="0"/>
          <w:numId w:val="1006"/>
        </w:numPr>
      </w:pPr>
      <w:r>
        <w:t xml:space="preserve">Key hires</w:t>
      </w:r>
    </w:p>
    <w:p>
      <w:pPr>
        <w:pStyle w:val="Compact"/>
        <w:numPr>
          <w:ilvl w:val="0"/>
          <w:numId w:val="1006"/>
        </w:numPr>
      </w:pPr>
      <w:r>
        <w:t xml:space="preserve">Culture</w:t>
      </w:r>
    </w:p>
    <w:p>
      <w:pPr>
        <w:pStyle w:val="Compact"/>
        <w:numPr>
          <w:ilvl w:val="0"/>
          <w:numId w:val="1006"/>
        </w:numPr>
      </w:pPr>
      <w:r>
        <w:t xml:space="preserve">Retention</w:t>
      </w:r>
    </w:p>
    <w:p>
      <w:pPr>
        <w:pStyle w:val="Heading2"/>
      </w:pPr>
      <w:bookmarkStart w:id="19" w:name="_governance"/>
      <w:r>
        <w:t xml:space="preserve">7. Governance</w:t>
      </w:r>
    </w:p>
    <w:p>
      <w:pPr>
        <w:pStyle w:val="Compact"/>
        <w:numPr>
          <w:ilvl w:val="0"/>
          <w:numId w:val="1007"/>
        </w:numPr>
      </w:pPr>
      <w:r>
        <w:t xml:space="preserve">Board composition</w:t>
      </w:r>
    </w:p>
    <w:p>
      <w:pPr>
        <w:pStyle w:val="Compact"/>
        <w:numPr>
          <w:ilvl w:val="0"/>
          <w:numId w:val="1007"/>
        </w:numPr>
      </w:pPr>
      <w:r>
        <w:t xml:space="preserve">Committee activities</w:t>
      </w:r>
    </w:p>
    <w:p>
      <w:pPr>
        <w:pStyle w:val="Compact"/>
        <w:numPr>
          <w:ilvl w:val="0"/>
          <w:numId w:val="1007"/>
        </w:numPr>
      </w:pPr>
      <w:r>
        <w:t xml:space="preserve">Policy updates</w:t>
      </w:r>
    </w:p>
    <w:p>
      <w:pPr>
        <w:pStyle w:val="Compact"/>
        <w:numPr>
          <w:ilvl w:val="0"/>
          <w:numId w:val="1007"/>
        </w:numPr>
      </w:pPr>
      <w:r>
        <w:t xml:space="preserve">Risk management</w:t>
      </w:r>
    </w:p>
    <w:p>
      <w:pPr>
        <w:pStyle w:val="Heading2"/>
      </w:pPr>
      <w:bookmarkStart w:id="20" w:name="_outlook"/>
      <w:r>
        <w:t xml:space="preserve">8. Outlook</w:t>
      </w:r>
    </w:p>
    <w:p>
      <w:pPr>
        <w:pStyle w:val="Compact"/>
        <w:numPr>
          <w:ilvl w:val="0"/>
          <w:numId w:val="1008"/>
        </w:numPr>
      </w:pPr>
      <w:r>
        <w:t xml:space="preserve">Strategic priorities</w:t>
      </w:r>
    </w:p>
    <w:p>
      <w:pPr>
        <w:pStyle w:val="Compact"/>
        <w:numPr>
          <w:ilvl w:val="0"/>
          <w:numId w:val="1008"/>
        </w:numPr>
      </w:pPr>
      <w:r>
        <w:t xml:space="preserve">Key milestones</w:t>
      </w:r>
    </w:p>
    <w:p>
      <w:pPr>
        <w:pStyle w:val="Compact"/>
        <w:numPr>
          <w:ilvl w:val="0"/>
          <w:numId w:val="1008"/>
        </w:numPr>
      </w:pPr>
      <w:r>
        <w:t xml:space="preserve">Risks</w:t>
      </w:r>
    </w:p>
    <w:p>
      <w:pPr>
        <w:pStyle w:val="Compact"/>
        <w:numPr>
          <w:ilvl w:val="0"/>
          <w:numId w:val="1008"/>
        </w:numPr>
      </w:pPr>
      <w:r>
        <w:t xml:space="preserve">Investment needs</w:t>
      </w:r>
    </w:p>
    <w:p>
      <w:pPr>
        <w:pStyle w:val="Heading2"/>
      </w:pPr>
      <w:bookmarkStart w:id="21" w:name="_0c8380105e7b0409666d3b0ab61ff899b7fbd38"/>
      <w:r>
        <w:t xml:space="preserve">9. Financial Statements</w:t>
      </w:r>
    </w:p>
    <w:p>
      <w:pPr>
        <w:pStyle w:val="Compact"/>
        <w:numPr>
          <w:ilvl w:val="0"/>
          <w:numId w:val="1009"/>
        </w:numPr>
      </w:pPr>
      <w:r>
        <w:t xml:space="preserve">Income Statement</w:t>
      </w:r>
    </w:p>
    <w:p>
      <w:pPr>
        <w:pStyle w:val="Compact"/>
        <w:numPr>
          <w:ilvl w:val="0"/>
          <w:numId w:val="1009"/>
        </w:numPr>
      </w:pPr>
      <w:r>
        <w:t xml:space="preserve">Balance Sheet</w:t>
      </w:r>
    </w:p>
    <w:p>
      <w:pPr>
        <w:pStyle w:val="Compact"/>
        <w:numPr>
          <w:ilvl w:val="0"/>
          <w:numId w:val="1009"/>
        </w:numPr>
      </w:pPr>
      <w:r>
        <w:t xml:space="preserve">Cash Flow Statement</w:t>
      </w:r>
    </w:p>
    <w:p>
      <w:pPr>
        <w:pStyle w:val="Compact"/>
        <w:numPr>
          <w:ilvl w:val="0"/>
          <w:numId w:val="1009"/>
        </w:numPr>
      </w:pPr>
      <w:r>
        <w:t xml:space="preserve">Notes</w:t>
      </w:r>
    </w:p>
    <w:p>
      <w:pPr>
        <w:pStyle w:val="Heading2"/>
      </w:pPr>
      <w:bookmarkStart w:id="22" w:name="_037be04b5bd7fb1db523975423c84890f5d3201"/>
      <w:r>
        <w:t xml:space="preserve">10. Auditor’s Report</w:t>
      </w:r>
    </w:p>
    <w:p>
      <w:pPr>
        <w:pStyle w:val="FirstParagraph"/>
      </w:pPr>
      <w:r>
        <w:t xml:space="preserve">[Independent auditor’s opinion]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Annual report reviewed by Board and Audit Committee.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Governance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 Annual Report Template</dc:title>
  <dc:creator>HISN Platform</dc:creator>
  <cp:keywords>HISN, FCDOS, financial crime, decision operating system</cp:keywords>
  <dcterms:created xsi:type="dcterms:W3CDTF">2026-10-14T09:43:13Z</dcterms:created>
  <dcterms:modified xsi:type="dcterms:W3CDTF">2026-10-14T09:43:13Z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