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AUDIT COMMITTEE CHARTER</w:t>
      </w:r>
    </w:p>
    <w:p>
      <w:pPr>
        <w:pStyle w:val="Heading2"/>
      </w:pPr>
      <w:bookmarkStart w:id="9" w:name="_purpose"/>
      <w:r>
        <w:t xml:space="preserve">1. Purpose</w:t>
      </w:r>
    </w:p>
    <w:p>
      <w:pPr>
        <w:pStyle w:val="FirstParagraph"/>
      </w:pPr>
      <w:r>
        <w:t xml:space="preserve">Oversee financial reporting, audit, internal controls, compliance.</w:t>
      </w:r>
    </w:p>
    <w:p>
      <w:pPr>
        <w:pStyle w:val="Heading2"/>
      </w:pPr>
      <w:bookmarkStart w:id="10" w:name="_composition"/>
      <w:r>
        <w:t xml:space="preserve">2. Composition</w:t>
      </w:r>
    </w:p>
    <w:p>
      <w:pPr>
        <w:pStyle w:val="FirstParagraph"/>
      </w:pPr>
      <w:r>
        <w:t xml:space="preserve">3 directors; majority independent; financial expert required.</w:t>
      </w:r>
    </w:p>
    <w:p>
      <w:pPr>
        <w:pStyle w:val="Heading2"/>
      </w:pPr>
      <w:bookmarkStart w:id="11" w:name="_meetings"/>
      <w:r>
        <w:t xml:space="preserve">3. Meetings</w:t>
      </w:r>
    </w:p>
    <w:p>
      <w:pPr>
        <w:pStyle w:val="FirstParagraph"/>
      </w:pPr>
      <w:r>
        <w:t xml:space="preserve">Quarterly; executive sessions with auditors.</w:t>
      </w:r>
    </w:p>
    <w:p>
      <w:pPr>
        <w:pStyle w:val="Heading2"/>
      </w:pPr>
      <w:bookmarkStart w:id="12" w:name="_responsibilities"/>
      <w:r>
        <w:t xml:space="preserve">4. Responsibilities</w:t>
      </w:r>
    </w:p>
    <w:p>
      <w:pPr>
        <w:pStyle w:val="Compact"/>
        <w:numPr>
          <w:ilvl w:val="0"/>
          <w:numId w:val="1001"/>
        </w:numPr>
      </w:pPr>
      <w:r>
        <w:t xml:space="preserve">External audit oversight</w:t>
      </w:r>
    </w:p>
    <w:p>
      <w:pPr>
        <w:pStyle w:val="Compact"/>
        <w:numPr>
          <w:ilvl w:val="0"/>
          <w:numId w:val="1001"/>
        </w:numPr>
      </w:pPr>
      <w:r>
        <w:t xml:space="preserve">Internal control review</w:t>
      </w:r>
    </w:p>
    <w:p>
      <w:pPr>
        <w:pStyle w:val="Compact"/>
        <w:numPr>
          <w:ilvl w:val="0"/>
          <w:numId w:val="1001"/>
        </w:numPr>
      </w:pPr>
      <w:r>
        <w:t xml:space="preserve">Risk assessment</w:t>
      </w:r>
    </w:p>
    <w:p>
      <w:pPr>
        <w:pStyle w:val="Compact"/>
        <w:numPr>
          <w:ilvl w:val="0"/>
          <w:numId w:val="1001"/>
        </w:numPr>
      </w:pPr>
      <w:r>
        <w:t xml:space="preserve">Whistleblower oversight</w:t>
      </w:r>
    </w:p>
    <w:p>
      <w:pPr>
        <w:pStyle w:val="Compact"/>
        <w:numPr>
          <w:ilvl w:val="0"/>
          <w:numId w:val="1001"/>
        </w:numPr>
      </w:pPr>
      <w:r>
        <w:t xml:space="preserve">Related-party review</w:t>
      </w:r>
    </w:p>
    <w:p>
      <w:pPr>
        <w:pStyle w:val="Heading2"/>
      </w:pPr>
      <w:bookmarkStart w:id="13" w:name="_authority"/>
      <w:r>
        <w:t xml:space="preserve">5. Authority</w:t>
      </w:r>
    </w:p>
    <w:p>
      <w:pPr>
        <w:pStyle w:val="FirstParagraph"/>
      </w:pPr>
      <w:r>
        <w:t xml:space="preserve">Direct access to auditors, management, records.</w:t>
      </w:r>
    </w:p>
    <w:p>
      <w:pPr>
        <w:pStyle w:val="Heading2"/>
      </w:pPr>
      <w:bookmarkStart w:id="14" w:name="_reporting"/>
      <w:r>
        <w:t xml:space="preserve">6. Reporting</w:t>
      </w:r>
    </w:p>
    <w:p>
      <w:pPr>
        <w:pStyle w:val="FirstParagraph"/>
      </w:pPr>
      <w:r>
        <w:t xml:space="preserve">To Board after each meeting.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Committee Charter</dc:title>
  <dc:creator>HISN Platform</dc:creator>
  <cp:keywords>HISN, FCDOS, financial crime, decision operating system</cp:keywords>
  <dcterms:created xsi:type="dcterms:W3CDTF">2026-10-14T06:28:26Z</dcterms:created>
  <dcterms:modified xsi:type="dcterms:W3CDTF">2026-10-14T06:28:26Z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