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BOARD CHARTER</w:t>
      </w:r>
    </w:p>
    <w:p>
      <w:pPr>
        <w:pStyle w:val="Heading2"/>
      </w:pPr>
      <w:bookmarkStart w:id="9" w:name="_purpose"/>
      <w:r>
        <w:t xml:space="preserve">1. Purpose</w:t>
      </w:r>
    </w:p>
    <w:p>
      <w:pPr>
        <w:pStyle w:val="FirstParagraph"/>
      </w:pPr>
      <w:r>
        <w:t xml:space="preserve">Govern HISN’s board composition, duties, and cadence.</w:t>
      </w:r>
    </w:p>
    <w:p>
      <w:pPr>
        <w:pStyle w:val="Heading2"/>
      </w:pPr>
      <w:bookmarkStart w:id="10" w:name="_composition"/>
      <w:r>
        <w:t xml:space="preserve">2. Composition</w:t>
      </w:r>
    </w:p>
    <w:p>
      <w:pPr>
        <w:pStyle w:val="FirstParagraph"/>
      </w:pPr>
      <w:r>
        <w:t xml:space="preserve">3-5 directors: 2 Founders, 1-2 Investors, 1 Independent (post-Series A).</w:t>
      </w:r>
    </w:p>
    <w:p>
      <w:pPr>
        <w:pStyle w:val="Heading2"/>
      </w:pPr>
      <w:bookmarkStart w:id="11" w:name="_meetings"/>
      <w:r>
        <w:t xml:space="preserve">3. Meetings</w:t>
      </w:r>
    </w:p>
    <w:p>
      <w:pPr>
        <w:pStyle w:val="FirstParagraph"/>
      </w:pPr>
      <w:r>
        <w:t xml:space="preserve">Quarterly minimum; monthly during seed year.</w:t>
      </w:r>
    </w:p>
    <w:p>
      <w:pPr>
        <w:pStyle w:val="Heading2"/>
      </w:pPr>
      <w:bookmarkStart w:id="12" w:name="_quorum"/>
      <w:r>
        <w:t xml:space="preserve">4. Quorum</w:t>
      </w:r>
    </w:p>
    <w:p>
      <w:pPr>
        <w:pStyle w:val="FirstParagraph"/>
      </w:pPr>
      <w:r>
        <w:t xml:space="preserve">Majority including at least one investor director.</w:t>
      </w:r>
    </w:p>
    <w:p>
      <w:pPr>
        <w:pStyle w:val="Heading2"/>
      </w:pPr>
      <w:bookmarkStart w:id="13" w:name="_duties"/>
      <w:r>
        <w:t xml:space="preserve">5. Duties</w:t>
      </w:r>
    </w:p>
    <w:p>
      <w:pPr>
        <w:pStyle w:val="FirstParagraph"/>
      </w:pPr>
      <w:r>
        <w:t xml:space="preserve">Fiduciary duty; strategic oversight; CEO performance; risk oversight.</w:t>
      </w:r>
    </w:p>
    <w:p>
      <w:pPr>
        <w:pStyle w:val="Heading2"/>
      </w:pPr>
      <w:bookmarkStart w:id="14" w:name="_committees"/>
      <w:r>
        <w:t xml:space="preserve">6. Committees</w:t>
      </w:r>
    </w:p>
    <w:p>
      <w:pPr>
        <w:pStyle w:val="FirstParagraph"/>
      </w:pPr>
      <w:r>
        <w:t xml:space="preserve">Audit, Compensation, Risk (formed at Series A).</w:t>
      </w:r>
    </w:p>
    <w:p>
      <w:pPr>
        <w:pStyle w:val="Heading2"/>
      </w:pPr>
      <w:bookmarkStart w:id="15" w:name="_reporting"/>
      <w:r>
        <w:t xml:space="preserve">7. Reporting</w:t>
      </w:r>
    </w:p>
    <w:p>
      <w:pPr>
        <w:pStyle w:val="FirstParagraph"/>
      </w:pPr>
      <w:r>
        <w:t xml:space="preserve">Board pack 7 days before; minutes 7 days after.</w:t>
      </w:r>
    </w:p>
    <w:p>
      <w:pPr>
        <w:pStyle w:val="Heading2"/>
      </w:pPr>
      <w:bookmarkStart w:id="16" w:name="_conflicts"/>
      <w:r>
        <w:t xml:space="preserve">8. Conflicts</w:t>
      </w:r>
    </w:p>
    <w:p>
      <w:pPr>
        <w:pStyle w:val="FirstParagraph"/>
      </w:pPr>
      <w:r>
        <w:t xml:space="preserve">Disclosure required; recusal on related-party matters.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Governance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Charter</dc:title>
  <dc:creator>HISN Platform</dc:creator>
  <cp:keywords>HISN, FCDOS, financial crime, decision operating system</cp:keywords>
  <dcterms:created xsi:type="dcterms:W3CDTF">2026-10-14T06:28:26Z</dcterms:created>
  <dcterms:modified xsi:type="dcterms:W3CDTF">2026-10-14T06:28:26Z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