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CONFLICTS OF INTEREST POLICY</w:t>
      </w:r>
    </w:p>
    <w:p>
      <w:pPr>
        <w:pStyle w:val="Heading2"/>
      </w:pPr>
      <w:bookmarkStart w:id="9" w:name="_scope"/>
      <w:r>
        <w:t xml:space="preserve">1. Scope</w:t>
      </w:r>
    </w:p>
    <w:p>
      <w:pPr>
        <w:pStyle w:val="FirstParagraph"/>
      </w:pPr>
      <w:r>
        <w:t xml:space="preserve">Directors, officers, key employees.</w:t>
      </w:r>
    </w:p>
    <w:p>
      <w:pPr>
        <w:pStyle w:val="Heading2"/>
      </w:pPr>
      <w:bookmarkStart w:id="10" w:name="_definition"/>
      <w:r>
        <w:t xml:space="preserve">2. Definition</w:t>
      </w:r>
    </w:p>
    <w:p>
      <w:pPr>
        <w:pStyle w:val="FirstParagraph"/>
      </w:pPr>
      <w:r>
        <w:t xml:space="preserve">Any situation where personal interest may conflict with company interest.</w:t>
      </w:r>
    </w:p>
    <w:p>
      <w:pPr>
        <w:pStyle w:val="Heading2"/>
      </w:pPr>
      <w:bookmarkStart w:id="11" w:name="_disclosure"/>
      <w:r>
        <w:t xml:space="preserve">3. Disclosure</w:t>
      </w:r>
    </w:p>
    <w:p>
      <w:pPr>
        <w:pStyle w:val="FirstParagraph"/>
      </w:pPr>
      <w:r>
        <w:t xml:space="preserve">Written disclosure to Board within 5 business days.</w:t>
      </w:r>
    </w:p>
    <w:p>
      <w:pPr>
        <w:pStyle w:val="Heading2"/>
      </w:pPr>
      <w:bookmarkStart w:id="12" w:name="_recusal"/>
      <w:r>
        <w:t xml:space="preserve">4. Recusal</w:t>
      </w:r>
    </w:p>
    <w:p>
      <w:pPr>
        <w:pStyle w:val="FirstParagraph"/>
      </w:pPr>
      <w:r>
        <w:t xml:space="preserve">Conflicted party recuses from discussion and vote.</w:t>
      </w:r>
    </w:p>
    <w:p>
      <w:pPr>
        <w:pStyle w:val="Heading2"/>
      </w:pPr>
      <w:bookmarkStart w:id="13" w:name="_register"/>
      <w:r>
        <w:t xml:space="preserve">5. Register</w:t>
      </w:r>
    </w:p>
    <w:p>
      <w:pPr>
        <w:pStyle w:val="FirstParagraph"/>
      </w:pPr>
      <w:r>
        <w:t xml:space="preserve">Maintained by Company Secretary; reviewed quarterly.</w:t>
      </w:r>
    </w:p>
    <w:p>
      <w:pPr>
        <w:pStyle w:val="Heading2"/>
      </w:pPr>
      <w:bookmarkStart w:id="14" w:name="_80469f3a2a642055641757f147f20576ba29ef8"/>
      <w:r>
        <w:t xml:space="preserve">6. Related-Party Transactions</w:t>
      </w:r>
    </w:p>
    <w:p>
      <w:pPr>
        <w:pStyle w:val="FirstParagraph"/>
      </w:pPr>
      <w:r>
        <w:t xml:space="preserve">Board approval required; independent director review.</w:t>
      </w:r>
    </w:p>
    <w:p>
      <w:pPr>
        <w:pStyle w:val="Heading2"/>
      </w:pPr>
      <w:bookmarkStart w:id="15" w:name="_dbf98ff69d6a1e99bf91960fb5b28075ca3ef1d"/>
      <w:r>
        <w:t xml:space="preserve">7. Annual Attestation</w:t>
      </w:r>
    </w:p>
    <w:p>
      <w:pPr>
        <w:pStyle w:val="FirstParagraph"/>
      </w:pPr>
      <w:r>
        <w:t xml:space="preserve">All directors sign annually.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Governance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Conflicts of Interest Policy</dc:title>
  <dc:creator>HISN Platform</dc:creator>
  <cp:keywords>HISN, FCDOS, financial crime, decision operating system</cp:keywords>
  <dcterms:created xsi:type="dcterms:W3CDTF">2026-10-14T06:28:27Z</dcterms:created>
  <dcterms:modified xsi:type="dcterms:W3CDTF">2026-10-14T06:28:27Z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