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DATA GOVERNANCE POLICY</w:t>
      </w:r>
    </w:p>
    <w:p>
      <w:pPr>
        <w:pStyle w:val="Heading2"/>
      </w:pPr>
      <w:bookmarkStart w:id="9" w:name="_scope"/>
      <w:r>
        <w:t xml:space="preserve">1. Scope</w:t>
      </w:r>
    </w:p>
    <w:p>
      <w:pPr>
        <w:pStyle w:val="FirstParagraph"/>
      </w:pPr>
      <w:r>
        <w:t xml:space="preserve">All data across HISN platform.</w:t>
      </w:r>
    </w:p>
    <w:p>
      <w:pPr>
        <w:pStyle w:val="Heading2"/>
      </w:pPr>
      <w:bookmarkStart w:id="10" w:name="_classification"/>
      <w:r>
        <w:t xml:space="preserve">2. Classification</w:t>
      </w:r>
    </w:p>
    <w:p>
      <w:pPr>
        <w:pStyle w:val="FirstParagraph"/>
      </w:pPr>
      <w:r>
        <w:t xml:space="preserve">Public, Internal, Confidential, Restricted.</w:t>
      </w:r>
    </w:p>
    <w:p>
      <w:pPr>
        <w:pStyle w:val="Heading2"/>
      </w:pPr>
      <w:bookmarkStart w:id="11" w:name="_ownership"/>
      <w:r>
        <w:t xml:space="preserve">3. Ownership</w:t>
      </w:r>
    </w:p>
    <w:p>
      <w:pPr>
        <w:pStyle w:val="FirstParagraph"/>
      </w:pPr>
      <w:r>
        <w:t xml:space="preserve">Data owner assigned per domain.</w:t>
      </w:r>
    </w:p>
    <w:p>
      <w:pPr>
        <w:pStyle w:val="Heading2"/>
      </w:pPr>
      <w:bookmarkStart w:id="12" w:name="_lifecycle"/>
      <w:r>
        <w:t xml:space="preserve">4. Lifecycle</w:t>
      </w:r>
    </w:p>
    <w:p>
      <w:pPr>
        <w:pStyle w:val="FirstParagraph"/>
      </w:pPr>
      <w:r>
        <w:t xml:space="preserve">Collect → Store → Use → Share → Retain → Delete.</w:t>
      </w:r>
    </w:p>
    <w:p>
      <w:pPr>
        <w:pStyle w:val="Heading2"/>
      </w:pPr>
      <w:bookmarkStart w:id="13" w:name="_access"/>
      <w:r>
        <w:t xml:space="preserve">5. Access</w:t>
      </w:r>
    </w:p>
    <w:p>
      <w:pPr>
        <w:pStyle w:val="FirstParagraph"/>
      </w:pPr>
      <w:r>
        <w:t xml:space="preserve">Role-based; least privilege.</w:t>
      </w:r>
    </w:p>
    <w:p>
      <w:pPr>
        <w:pStyle w:val="Heading2"/>
      </w:pPr>
      <w:bookmarkStart w:id="14" w:name="_quality"/>
      <w:r>
        <w:t xml:space="preserve">6. Quality</w:t>
      </w:r>
    </w:p>
    <w:p>
      <w:pPr>
        <w:pStyle w:val="FirstParagraph"/>
      </w:pPr>
      <w:r>
        <w:t xml:space="preserve">Accuracy, completeness, timeliness.</w:t>
      </w:r>
    </w:p>
    <w:p>
      <w:pPr>
        <w:pStyle w:val="Heading2"/>
      </w:pPr>
      <w:bookmarkStart w:id="15" w:name="_privacy"/>
      <w:r>
        <w:t xml:space="preserve">7. Privacy</w:t>
      </w:r>
    </w:p>
    <w:p>
      <w:pPr>
        <w:pStyle w:val="FirstParagraph"/>
      </w:pPr>
      <w:r>
        <w:t xml:space="preserve">PDPL compliance; data subject rights.</w:t>
      </w:r>
    </w:p>
    <w:p>
      <w:pPr>
        <w:pStyle w:val="Heading2"/>
      </w:pPr>
      <w:bookmarkStart w:id="16" w:name="_security"/>
      <w:r>
        <w:t xml:space="preserve">8. Security</w:t>
      </w:r>
    </w:p>
    <w:p>
      <w:pPr>
        <w:pStyle w:val="FirstParagraph"/>
      </w:pPr>
      <w:r>
        <w:t xml:space="preserve">Encryption, audit, monitoring.</w:t>
      </w:r>
    </w:p>
    <w:p>
      <w:pPr>
        <w:pStyle w:val="Heading2"/>
      </w:pPr>
      <w:bookmarkStart w:id="17" w:name="_retention"/>
      <w:r>
        <w:t xml:space="preserve">9. Retention</w:t>
      </w:r>
    </w:p>
    <w:p>
      <w:pPr>
        <w:pStyle w:val="FirstParagraph"/>
      </w:pPr>
      <w:r>
        <w:t xml:space="preserve">Per regulatory schedule (10 years AML).</w:t>
      </w:r>
      <w:r>
        <w:t xml:space="preserve"> </w:t>
      </w:r>
      <w:r>
        <w:t xml:space="preserve">## 10. Cross-Border</w:t>
      </w:r>
      <w:r>
        <w:t xml:space="preserve"> </w:t>
      </w:r>
      <w:r>
        <w:t xml:space="preserve">SCC/adequacy for transfers.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Governance Policy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