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INSIDER TRADING POLICY</w:t>
      </w:r>
    </w:p>
    <w:p>
      <w:pPr>
        <w:pStyle w:val="Heading2"/>
      </w:pPr>
      <w:bookmarkStart w:id="9" w:name="_scope"/>
      <w:r>
        <w:t xml:space="preserve">1. Scope</w:t>
      </w:r>
    </w:p>
    <w:p>
      <w:pPr>
        <w:pStyle w:val="FirstParagraph"/>
      </w:pPr>
      <w:r>
        <w:t xml:space="preserve">Directors, officers, employees with MNPI.</w:t>
      </w:r>
    </w:p>
    <w:p>
      <w:pPr>
        <w:pStyle w:val="Heading2"/>
      </w:pPr>
      <w:bookmarkStart w:id="10" w:name="_prohibition"/>
      <w:r>
        <w:t xml:space="preserve">2. Prohibition</w:t>
      </w:r>
    </w:p>
    <w:p>
      <w:pPr>
        <w:pStyle w:val="FirstParagraph"/>
      </w:pPr>
      <w:r>
        <w:t xml:space="preserve">No trading on material non-public information.</w:t>
      </w:r>
    </w:p>
    <w:p>
      <w:pPr>
        <w:pStyle w:val="Heading2"/>
      </w:pPr>
      <w:bookmarkStart w:id="11" w:name="_blackout"/>
      <w:r>
        <w:t xml:space="preserve">3. Blackout</w:t>
      </w:r>
    </w:p>
    <w:p>
      <w:pPr>
        <w:pStyle w:val="FirstParagraph"/>
      </w:pPr>
      <w:r>
        <w:t xml:space="preserve">Quarterly earnings; ad-hoc events.</w:t>
      </w:r>
    </w:p>
    <w:p>
      <w:pPr>
        <w:pStyle w:val="Heading2"/>
      </w:pPr>
      <w:bookmarkStart w:id="12" w:name="_1e6d575f39d4a715a1b4bad1c1867a948e5891f"/>
      <w:r>
        <w:t xml:space="preserve">4. Pre-Clearance</w:t>
      </w:r>
    </w:p>
    <w:p>
      <w:pPr>
        <w:pStyle w:val="FirstParagraph"/>
      </w:pPr>
      <w:r>
        <w:t xml:space="preserve">Directors and officers must pre-clear.</w:t>
      </w:r>
    </w:p>
    <w:p>
      <w:pPr>
        <w:pStyle w:val="Heading2"/>
      </w:pPr>
      <w:bookmarkStart w:id="13" w:name="_tipping"/>
      <w:r>
        <w:t xml:space="preserve">5. Tipping</w:t>
      </w:r>
    </w:p>
    <w:p>
      <w:pPr>
        <w:pStyle w:val="FirstParagraph"/>
      </w:pPr>
      <w:r>
        <w:t xml:space="preserve">Prohibited.</w:t>
      </w:r>
    </w:p>
    <w:p>
      <w:pPr>
        <w:pStyle w:val="Heading2"/>
      </w:pPr>
      <w:bookmarkStart w:id="14" w:name="_reporting"/>
      <w:r>
        <w:t xml:space="preserve">6. Reporting</w:t>
      </w:r>
    </w:p>
    <w:p>
      <w:pPr>
        <w:pStyle w:val="FirstParagraph"/>
      </w:pPr>
      <w:r>
        <w:t xml:space="preserve">Violations to Board.</w:t>
      </w:r>
    </w:p>
    <w:p>
      <w:pPr>
        <w:pStyle w:val="Heading2"/>
      </w:pPr>
      <w:bookmarkStart w:id="15" w:name="_compliance"/>
      <w:r>
        <w:t xml:space="preserve">7. Compliance</w:t>
      </w:r>
    </w:p>
    <w:p>
      <w:pPr>
        <w:pStyle w:val="FirstParagraph"/>
      </w:pPr>
      <w:r>
        <w:t xml:space="preserve">Annual certification.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Insider Trading Policy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