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README</w:t>
      </w:r>
    </w:p>
    <w:p>
      <w:pPr>
        <w:pStyle w:val="Author"/>
      </w:pPr>
      <w:r>
        <w:t xml:space="preserve">HISN Platform</w:t>
      </w:r>
    </w:p>
    <w:p>
      <w:pPr>
        <w:pStyle w:val="Heading1"/>
      </w:pPr>
      <w:bookmarkStart w:id="9" w:name="_3012cb28df6e5310e50c02aa535ffb2d1157a1f"/>
      <w:r>
        <w:t xml:space="preserve">COMMERCIAL INTELLIGENCE SSOT — README</w:t>
      </w:r>
    </w:p>
    <w:p>
      <w:pPr>
        <w:pStyle w:val="FirstParagraph"/>
      </w:pPr>
      <w:r>
        <w:rPr>
          <w:b/>
          <w:bCs/>
        </w:rPr>
        <w:t xml:space="preserve">Purpose:</w:t>
      </w:r>
      <w:r>
        <w:t xml:space="preserve"> </w:t>
      </w:r>
      <w:r>
        <w:t xml:space="preserve">This folder contains the authoritative commercial intelligence for HISN, prepared to an audit-ready, Big 4-style diligence workpaper standard.</w:t>
      </w:r>
    </w:p>
    <w:p>
      <w:pPr>
        <w:pStyle w:val="BodyText"/>
      </w:pPr>
      <w:r>
        <w:rPr>
          <w:b/>
          <w:bCs/>
        </w:rPr>
        <w:t xml:space="preserve">Total Files:</w:t>
      </w:r>
      <w:r>
        <w:t xml:space="preserve"> </w:t>
      </w:r>
      <w:r>
        <w:t xml:space="preserve">35 (across 7 phases)</w:t>
      </w:r>
      <w:r>
        <w:t xml:space="preserve"> </w:t>
      </w:r>
      <w:r>
        <w:rPr>
          <w:b/>
          <w:bCs/>
        </w:rPr>
        <w:t xml:space="preserve">Version:</w:t>
      </w:r>
      <w:r>
        <w:t xml:space="preserve"> </w:t>
      </w:r>
      <w:r>
        <w:t xml:space="preserve">v1.0 |</w:t>
      </w:r>
      <w:r>
        <w:t xml:space="preserve"> </w:t>
      </w:r>
      <w:r>
        <w:rPr>
          <w:b/>
          <w:bCs/>
        </w:rPr>
        <w:t xml:space="preserve">Date:</w:t>
      </w:r>
      <w:r>
        <w:t xml:space="preserve"> </w:t>
      </w:r>
      <w:r>
        <w:t xml:space="preserve">October 2026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0" w:name="_structure"/>
      <w:r>
        <w:t xml:space="preserve">1. Structure</w:t>
      </w:r>
    </w:p>
    <w:p>
      <w:pPr>
        <w:pStyle w:val="Heading3"/>
      </w:pPr>
      <w:bookmarkStart w:id="11" w:name="_7ea98f081f1b14f75b4348fceeedfa0200ea4c3"/>
      <w:r>
        <w:t xml:space="preserve">Phase 1 — Market &amp; Governance Foundation</w:t>
      </w:r>
    </w:p>
    <w:p>
      <w:pPr>
        <w:pStyle w:val="Compact"/>
        <w:numPr>
          <w:ilvl w:val="0"/>
          <w:numId w:val="1001"/>
        </w:numPr>
      </w:pPr>
      <w:r>
        <w:t xml:space="preserve">01_Commercial_Model_Governance_Manual</w:t>
      </w:r>
    </w:p>
    <w:p>
      <w:pPr>
        <w:pStyle w:val="Compact"/>
        <w:numPr>
          <w:ilvl w:val="0"/>
          <w:numId w:val="1001"/>
        </w:numPr>
      </w:pPr>
      <w:r>
        <w:t xml:space="preserve">02_Saudi_Financial_Crime_Market_Taxonomy</w:t>
      </w:r>
    </w:p>
    <w:p>
      <w:pPr>
        <w:pStyle w:val="Compact"/>
        <w:numPr>
          <w:ilvl w:val="0"/>
          <w:numId w:val="1001"/>
        </w:numPr>
      </w:pPr>
      <w:r>
        <w:t xml:space="preserve">03_Saudi_Market_Sizing_TAM_SAM_SOM</w:t>
      </w:r>
    </w:p>
    <w:p>
      <w:pPr>
        <w:pStyle w:val="Compact"/>
        <w:numPr>
          <w:ilvl w:val="0"/>
          <w:numId w:val="1001"/>
        </w:numPr>
      </w:pPr>
      <w:r>
        <w:t xml:space="preserve">04_ICP_Model</w:t>
      </w:r>
    </w:p>
    <w:p>
      <w:pPr>
        <w:pStyle w:val="Compact"/>
        <w:numPr>
          <w:ilvl w:val="0"/>
          <w:numId w:val="1001"/>
        </w:numPr>
      </w:pPr>
      <w:r>
        <w:t xml:space="preserve">05_Competitive_Intelligence</w:t>
      </w:r>
    </w:p>
    <w:p>
      <w:pPr>
        <w:pStyle w:val="Heading3"/>
      </w:pPr>
      <w:bookmarkStart w:id="12" w:name="_d3cd51796d51de84f686e3cd5d21f3b6ce2a018"/>
      <w:r>
        <w:t xml:space="preserve">Phase 2 — Target Accounts &amp; Customer Validation</w:t>
      </w:r>
    </w:p>
    <w:p>
      <w:pPr>
        <w:pStyle w:val="Compact"/>
        <w:numPr>
          <w:ilvl w:val="0"/>
          <w:numId w:val="1002"/>
        </w:numPr>
      </w:pPr>
      <w:r>
        <w:t xml:space="preserve">06_Saudi_Target_Account_Database</w:t>
      </w:r>
    </w:p>
    <w:p>
      <w:pPr>
        <w:pStyle w:val="Compact"/>
        <w:numPr>
          <w:ilvl w:val="0"/>
          <w:numId w:val="1002"/>
        </w:numPr>
      </w:pPr>
      <w:r>
        <w:t xml:space="preserve">07_Target_Account_Scoring_and_Prioritization</w:t>
      </w:r>
    </w:p>
    <w:p>
      <w:pPr>
        <w:pStyle w:val="Compact"/>
        <w:numPr>
          <w:ilvl w:val="0"/>
          <w:numId w:val="1002"/>
        </w:numPr>
      </w:pPr>
      <w:r>
        <w:t xml:space="preserve">08_Customer_Validation_and_Interview_Framework</w:t>
      </w:r>
    </w:p>
    <w:p>
      <w:pPr>
        <w:pStyle w:val="Compact"/>
        <w:numPr>
          <w:ilvl w:val="0"/>
          <w:numId w:val="1002"/>
        </w:numPr>
      </w:pPr>
      <w:r>
        <w:t xml:space="preserve">09_Saudi_Customer_and_Buyer_Research</w:t>
      </w:r>
    </w:p>
    <w:p>
      <w:pPr>
        <w:pStyle w:val="Compact"/>
        <w:numPr>
          <w:ilvl w:val="0"/>
          <w:numId w:val="1002"/>
        </w:numPr>
      </w:pPr>
      <w:r>
        <w:t xml:space="preserve">10_Market_Opportunity_and_Segment_Attractiveness</w:t>
      </w:r>
    </w:p>
    <w:p>
      <w:pPr>
        <w:pStyle w:val="Heading3"/>
      </w:pPr>
      <w:bookmarkStart w:id="13" w:name="_86323d4a27376ae60de25edb95ab28ac1becfb5"/>
      <w:r>
        <w:t xml:space="preserve">Phase 3 — Pricing, WTP, GTM, Sales Economics</w:t>
      </w:r>
    </w:p>
    <w:p>
      <w:pPr>
        <w:pStyle w:val="Compact"/>
        <w:numPr>
          <w:ilvl w:val="0"/>
          <w:numId w:val="1003"/>
        </w:numPr>
      </w:pPr>
      <w:r>
        <w:t xml:space="preserve">11_Pricing_Strategy_and_Model</w:t>
      </w:r>
    </w:p>
    <w:p>
      <w:pPr>
        <w:pStyle w:val="Compact"/>
        <w:numPr>
          <w:ilvl w:val="0"/>
          <w:numId w:val="1003"/>
        </w:numPr>
      </w:pPr>
      <w:r>
        <w:t xml:space="preserve">12_Willingness_to_Pay_and_Customer_ROI</w:t>
      </w:r>
    </w:p>
    <w:p>
      <w:pPr>
        <w:pStyle w:val="Compact"/>
        <w:numPr>
          <w:ilvl w:val="0"/>
          <w:numId w:val="1003"/>
        </w:numPr>
      </w:pPr>
      <w:r>
        <w:t xml:space="preserve">13_GTM_Strategy_and_Sales_Funnel</w:t>
      </w:r>
    </w:p>
    <w:p>
      <w:pPr>
        <w:pStyle w:val="Compact"/>
        <w:numPr>
          <w:ilvl w:val="0"/>
          <w:numId w:val="1003"/>
        </w:numPr>
      </w:pPr>
      <w:r>
        <w:t xml:space="preserve">14_CAC_and_LTV_Model</w:t>
      </w:r>
    </w:p>
    <w:p>
      <w:pPr>
        <w:pStyle w:val="Compact"/>
        <w:numPr>
          <w:ilvl w:val="0"/>
          <w:numId w:val="1003"/>
        </w:numPr>
      </w:pPr>
      <w:r>
        <w:t xml:space="preserve">15_Unit_Economics_and_Revenue_Model</w:t>
      </w:r>
    </w:p>
    <w:p>
      <w:pPr>
        <w:pStyle w:val="Heading3"/>
      </w:pPr>
      <w:bookmarkStart w:id="14" w:name="_6bcc1c600e9a6588e93cd3dc3a06c58975f5609"/>
      <w:r>
        <w:t xml:space="preserve">Phase 4 — Financial Model, Use of Funds, KPIs</w:t>
      </w:r>
    </w:p>
    <w:p>
      <w:pPr>
        <w:pStyle w:val="Compact"/>
        <w:numPr>
          <w:ilvl w:val="0"/>
          <w:numId w:val="1004"/>
        </w:numPr>
      </w:pPr>
      <w:r>
        <w:t xml:space="preserve">16_5Y_Financial_Model</w:t>
      </w:r>
    </w:p>
    <w:p>
      <w:pPr>
        <w:pStyle w:val="Compact"/>
        <w:numPr>
          <w:ilvl w:val="0"/>
          <w:numId w:val="1004"/>
        </w:numPr>
      </w:pPr>
      <w:r>
        <w:t xml:space="preserve">17_Use_of_Funds</w:t>
      </w:r>
    </w:p>
    <w:p>
      <w:pPr>
        <w:pStyle w:val="Compact"/>
        <w:numPr>
          <w:ilvl w:val="0"/>
          <w:numId w:val="1004"/>
        </w:numPr>
      </w:pPr>
      <w:r>
        <w:t xml:space="preserve">18_Hiring_Plan</w:t>
      </w:r>
    </w:p>
    <w:p>
      <w:pPr>
        <w:pStyle w:val="Compact"/>
        <w:numPr>
          <w:ilvl w:val="0"/>
          <w:numId w:val="1004"/>
        </w:numPr>
      </w:pPr>
      <w:r>
        <w:t xml:space="preserve">19_12M_GTM_Budget</w:t>
      </w:r>
    </w:p>
    <w:p>
      <w:pPr>
        <w:pStyle w:val="Compact"/>
        <w:numPr>
          <w:ilvl w:val="0"/>
          <w:numId w:val="1004"/>
        </w:numPr>
      </w:pPr>
      <w:r>
        <w:t xml:space="preserve">20_KPI_Framework_and_Board_Dashboard</w:t>
      </w:r>
    </w:p>
    <w:p>
      <w:pPr>
        <w:pStyle w:val="Heading3"/>
      </w:pPr>
      <w:bookmarkStart w:id="15" w:name="_85446461ea88350c3de3c4ae6bb3df3bb50f6d5"/>
      <w:r>
        <w:t xml:space="preserve">Phase 5 — Risk, Market Entry, Partners, IC Case</w:t>
      </w:r>
    </w:p>
    <w:p>
      <w:pPr>
        <w:pStyle w:val="Compact"/>
        <w:numPr>
          <w:ilvl w:val="0"/>
          <w:numId w:val="1005"/>
        </w:numPr>
      </w:pPr>
      <w:r>
        <w:t xml:space="preserve">21_Commercial_Risk_Register</w:t>
      </w:r>
    </w:p>
    <w:p>
      <w:pPr>
        <w:pStyle w:val="Compact"/>
        <w:numPr>
          <w:ilvl w:val="0"/>
          <w:numId w:val="1005"/>
        </w:numPr>
      </w:pPr>
      <w:r>
        <w:t xml:space="preserve">22_Market_Entry_Roadmap</w:t>
      </w:r>
    </w:p>
    <w:p>
      <w:pPr>
        <w:pStyle w:val="Compact"/>
        <w:numPr>
          <w:ilvl w:val="0"/>
          <w:numId w:val="1005"/>
        </w:numPr>
      </w:pPr>
      <w:r>
        <w:t xml:space="preserve">23_Channel_and_Partner_Strategy</w:t>
      </w:r>
    </w:p>
    <w:p>
      <w:pPr>
        <w:pStyle w:val="Compact"/>
        <w:numPr>
          <w:ilvl w:val="0"/>
          <w:numId w:val="1005"/>
        </w:numPr>
      </w:pPr>
      <w:r>
        <w:t xml:space="preserve">24_IC_Commercial_Case</w:t>
      </w:r>
    </w:p>
    <w:p>
      <w:pPr>
        <w:pStyle w:val="Compact"/>
        <w:numPr>
          <w:ilvl w:val="0"/>
          <w:numId w:val="1005"/>
        </w:numPr>
      </w:pPr>
      <w:r>
        <w:t xml:space="preserve">25_Investor_Commercial_Memo</w:t>
      </w:r>
    </w:p>
    <w:p>
      <w:pPr>
        <w:pStyle w:val="Heading3"/>
      </w:pPr>
      <w:bookmarkStart w:id="16" w:name="_b1cc476a76956dbdd6fdfda2c8d7cc02a3230d5"/>
      <w:r>
        <w:t xml:space="preserve">Phase 6 — Quality Assurance &amp; Consolidation</w:t>
      </w:r>
    </w:p>
    <w:p>
      <w:pPr>
        <w:pStyle w:val="Compact"/>
        <w:numPr>
          <w:ilvl w:val="0"/>
          <w:numId w:val="1006"/>
        </w:numPr>
      </w:pPr>
      <w:r>
        <w:t xml:space="preserve">26_Data_Room_Master_Index</w:t>
      </w:r>
    </w:p>
    <w:p>
      <w:pPr>
        <w:pStyle w:val="Compact"/>
        <w:numPr>
          <w:ilvl w:val="0"/>
          <w:numId w:val="1006"/>
        </w:numPr>
      </w:pPr>
      <w:r>
        <w:t xml:space="preserve">27_Master_Assumption_Register</w:t>
      </w:r>
    </w:p>
    <w:p>
      <w:pPr>
        <w:pStyle w:val="Compact"/>
        <w:numPr>
          <w:ilvl w:val="0"/>
          <w:numId w:val="1006"/>
        </w:numPr>
      </w:pPr>
      <w:r>
        <w:t xml:space="preserve">28_Master_Source_and_Evidence_Register</w:t>
      </w:r>
    </w:p>
    <w:p>
      <w:pPr>
        <w:pStyle w:val="Compact"/>
        <w:numPr>
          <w:ilvl w:val="0"/>
          <w:numId w:val="1006"/>
        </w:numPr>
      </w:pPr>
      <w:r>
        <w:t xml:space="preserve">29_Quality_Standard_Assessment</w:t>
      </w:r>
    </w:p>
    <w:p>
      <w:pPr>
        <w:pStyle w:val="Compact"/>
        <w:numPr>
          <w:ilvl w:val="0"/>
          <w:numId w:val="1006"/>
        </w:numPr>
      </w:pPr>
      <w:r>
        <w:t xml:space="preserve">30_Prohibitions_Compliance_Review</w:t>
      </w:r>
    </w:p>
    <w:p>
      <w:pPr>
        <w:pStyle w:val="Heading3"/>
      </w:pPr>
      <w:bookmarkStart w:id="17" w:name="_5a8f4575d14885bb6c6ecfbaa0db6c6c93ff5e0"/>
      <w:r>
        <w:t xml:space="preserve">Phase 7 — Final Outputs</w:t>
      </w:r>
    </w:p>
    <w:p>
      <w:pPr>
        <w:pStyle w:val="Compact"/>
        <w:numPr>
          <w:ilvl w:val="0"/>
          <w:numId w:val="1007"/>
        </w:numPr>
      </w:pPr>
      <w:r>
        <w:t xml:space="preserve">31_Commercial_Market_Report</w:t>
      </w:r>
    </w:p>
    <w:p>
      <w:pPr>
        <w:pStyle w:val="Compact"/>
        <w:numPr>
          <w:ilvl w:val="0"/>
          <w:numId w:val="1007"/>
        </w:numPr>
      </w:pPr>
      <w:r>
        <w:t xml:space="preserve">32_Executive_Summary</w:t>
      </w:r>
    </w:p>
    <w:p>
      <w:pPr>
        <w:pStyle w:val="Compact"/>
        <w:numPr>
          <w:ilvl w:val="0"/>
          <w:numId w:val="1007"/>
        </w:numPr>
      </w:pPr>
      <w:r>
        <w:t xml:space="preserve">33_Customer_ROI_Calculator</w:t>
      </w:r>
    </w:p>
    <w:p>
      <w:pPr>
        <w:pStyle w:val="Compact"/>
        <w:numPr>
          <w:ilvl w:val="0"/>
          <w:numId w:val="1007"/>
        </w:numPr>
      </w:pPr>
      <w:r>
        <w:t xml:space="preserve">34_Final_Required_Question</w:t>
      </w:r>
    </w:p>
    <w:p>
      <w:pPr>
        <w:pStyle w:val="Compact"/>
        <w:numPr>
          <w:ilvl w:val="0"/>
          <w:numId w:val="1007"/>
        </w:numPr>
      </w:pPr>
      <w:r>
        <w:t xml:space="preserve">35_Data_Room_Package_Final_Index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8" w:name="_79f7351c51fa75f1cb4f080285b5a1c1f0e0ba8"/>
      <w:r>
        <w:t xml:space="preserve">2. How to Place Files Here</w:t>
      </w:r>
    </w:p>
    <w:p>
      <w:pPr>
        <w:pStyle w:val="FirstParagraph"/>
      </w:pPr>
      <w:r>
        <w:rPr>
          <w:b/>
          <w:bCs/>
        </w:rPr>
        <w:t xml:space="preserve">Drag the 35 files into this folder manually.</w:t>
      </w:r>
      <w:r>
        <w:t xml:space="preserve"> </w:t>
      </w:r>
      <w:r>
        <w:t xml:space="preserve">Any file type (DOCX, XLSX, PDF) is accepted.</w:t>
      </w:r>
    </w:p>
    <w:p>
      <w:pPr>
        <w:pStyle w:val="BodyText"/>
      </w:pPr>
      <w:r>
        <w:t xml:space="preserve">Once placed, the Data Room Zip should be re-built.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9" w:name="_8ca2c4f88572a1707aaafb2b60e8f553fc645fd"/>
      <w:r>
        <w:t xml:space="preserve">3. Governing Principles</w:t>
      </w:r>
    </w:p>
    <w:p>
      <w:pPr>
        <w:pStyle w:val="FirstParagraph"/>
      </w:pPr>
      <w:r>
        <w:t xml:space="preserve">All 35 files adhere to: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UNKNOWN ≠ 0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Provenance classification for every number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Source tiers (1–4)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No fabrication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Scenarios not forecasts</w:t>
      </w:r>
    </w:p>
    <w:p>
      <w:pPr>
        <w:pStyle w:val="BodyText"/>
      </w:pPr>
      <w:r>
        <w:t xml:space="preserve">See</w:t>
      </w:r>
      <w:r>
        <w:t xml:space="preserve"> </w:t>
      </w:r>
      <w:r>
        <w:rPr>
          <w:rStyle w:val="VerbatimChar"/>
        </w:rPr>
        <w:t xml:space="preserve">01_Commercial_Model_Governance_Manual</w:t>
      </w:r>
      <w:r>
        <w:t xml:space="preserve"> </w:t>
      </w:r>
      <w:r>
        <w:t xml:space="preserve">for full methodology.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0" w:name="_authority"/>
      <w:r>
        <w:t xml:space="preserve">4. Authority</w:t>
      </w:r>
    </w:p>
    <w:p>
      <w:pPr>
        <w:pStyle w:val="FirstParagraph"/>
      </w:pPr>
      <w:r>
        <w:rPr>
          <w:b/>
          <w:bCs/>
        </w:rPr>
        <w:t xml:space="preserve">Where the 35 files conflict with files in Folders 00–36, the 35 files prevail.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This README is a placeholder until the 35 files are placed in this folder.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Archive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README</dc:title>
  <dc:creator>HISN Platform</dc:creator>
  <cp:keywords>HISN, FCDOS, financial crime, decision operating system</cp:keywords>
  <dcterms:created xsi:type="dcterms:W3CDTF">2026-10-14T11:23:00Z</dcterms:created>
  <dcterms:modified xsi:type="dcterms:W3CDTF">2026-10-14T11:23:00Z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