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RESERVED MATTERS (Investor Consent Required)</w:t>
      </w:r>
    </w:p>
    <w:p>
      <w:pPr>
        <w:pStyle w:val="Compact"/>
        <w:numPr>
          <w:ilvl w:val="0"/>
          <w:numId w:val="1001"/>
        </w:numPr>
      </w:pPr>
      <w:r>
        <w:t xml:space="preserve">New share issuance or buyback</w:t>
      </w:r>
    </w:p>
    <w:p>
      <w:pPr>
        <w:pStyle w:val="Compact"/>
        <w:numPr>
          <w:ilvl w:val="0"/>
          <w:numId w:val="1001"/>
        </w:numPr>
      </w:pPr>
      <w:r>
        <w:t xml:space="preserve">M&amp;A, liquidation, IPO, change of control</w:t>
      </w:r>
    </w:p>
    <w:p>
      <w:pPr>
        <w:pStyle w:val="Compact"/>
        <w:numPr>
          <w:ilvl w:val="0"/>
          <w:numId w:val="1001"/>
        </w:numPr>
      </w:pPr>
      <w:r>
        <w:t xml:space="preserve">Debt above SAR 500,000</w:t>
      </w:r>
    </w:p>
    <w:p>
      <w:pPr>
        <w:pStyle w:val="Compact"/>
        <w:numPr>
          <w:ilvl w:val="0"/>
          <w:numId w:val="1001"/>
        </w:numPr>
      </w:pPr>
      <w:r>
        <w:t xml:space="preserve">Change in business scope</w:t>
      </w:r>
    </w:p>
    <w:p>
      <w:pPr>
        <w:pStyle w:val="Compact"/>
        <w:numPr>
          <w:ilvl w:val="0"/>
          <w:numId w:val="1001"/>
        </w:numPr>
      </w:pPr>
      <w:r>
        <w:t xml:space="preserve">Related-party transactions</w:t>
      </w:r>
    </w:p>
    <w:p>
      <w:pPr>
        <w:pStyle w:val="Compact"/>
        <w:numPr>
          <w:ilvl w:val="0"/>
          <w:numId w:val="1001"/>
        </w:numPr>
      </w:pPr>
      <w:r>
        <w:t xml:space="preserve">Appointment/removal of CEO, CFO, CTO</w:t>
      </w:r>
    </w:p>
    <w:p>
      <w:pPr>
        <w:pStyle w:val="Compact"/>
        <w:numPr>
          <w:ilvl w:val="0"/>
          <w:numId w:val="1001"/>
        </w:numPr>
      </w:pPr>
      <w:r>
        <w:t xml:space="preserve">Annual budget approval</w:t>
      </w:r>
    </w:p>
    <w:p>
      <w:pPr>
        <w:pStyle w:val="Compact"/>
        <w:numPr>
          <w:ilvl w:val="0"/>
          <w:numId w:val="1001"/>
        </w:numPr>
      </w:pPr>
      <w:r>
        <w:t xml:space="preserve">ESOP pool creation or expansion</w:t>
      </w:r>
    </w:p>
    <w:p>
      <w:pPr>
        <w:pStyle w:val="Compact"/>
        <w:numPr>
          <w:ilvl w:val="0"/>
          <w:numId w:val="1001"/>
        </w:numPr>
      </w:pPr>
      <w:r>
        <w:t xml:space="preserve">Material litigation settlement</w:t>
      </w:r>
    </w:p>
    <w:p>
      <w:pPr>
        <w:pStyle w:val="Compact"/>
        <w:numPr>
          <w:ilvl w:val="0"/>
          <w:numId w:val="1001"/>
        </w:numPr>
      </w:pPr>
      <w:r>
        <w:t xml:space="preserve">Sale of material IP or assets</w:t>
      </w:r>
    </w:p>
    <w:p>
      <w:pPr>
        <w:pStyle w:val="Compact"/>
        <w:numPr>
          <w:ilvl w:val="0"/>
          <w:numId w:val="1001"/>
        </w:numPr>
      </w:pPr>
      <w:r>
        <w:t xml:space="preserve">Dividend declaration</w:t>
      </w:r>
    </w:p>
    <w:p>
      <w:pPr>
        <w:pStyle w:val="Compact"/>
        <w:numPr>
          <w:ilvl w:val="0"/>
          <w:numId w:val="1001"/>
        </w:numPr>
      </w:pPr>
      <w:r>
        <w:t xml:space="preserve">Amendments to Articles or SHA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Reserved Matters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