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WHISTLEBLOWER POLICY</w:t>
      </w:r>
    </w:p>
    <w:p>
      <w:pPr>
        <w:pStyle w:val="Heading2"/>
      </w:pPr>
      <w:bookmarkStart w:id="9" w:name="_purpose"/>
      <w:r>
        <w:t xml:space="preserve">1. Purpose</w:t>
      </w:r>
    </w:p>
    <w:p>
      <w:pPr>
        <w:pStyle w:val="FirstParagraph"/>
      </w:pPr>
      <w:r>
        <w:t xml:space="preserve">Encourage reporting of misconduct without retaliation.</w:t>
      </w:r>
    </w:p>
    <w:p>
      <w:pPr>
        <w:pStyle w:val="Heading2"/>
      </w:pPr>
      <w:bookmarkStart w:id="10" w:name="_scope"/>
      <w:r>
        <w:t xml:space="preserve">2. Scope</w:t>
      </w:r>
    </w:p>
    <w:p>
      <w:pPr>
        <w:pStyle w:val="FirstParagraph"/>
      </w:pPr>
      <w:r>
        <w:t xml:space="preserve">Fraud, corruption, harassment, safety, regulatory violations.</w:t>
      </w:r>
    </w:p>
    <w:p>
      <w:pPr>
        <w:pStyle w:val="Heading2"/>
      </w:pPr>
      <w:bookmarkStart w:id="11" w:name="_channels"/>
      <w:r>
        <w:t xml:space="preserve">3. Channels</w:t>
      </w:r>
    </w:p>
    <w:p>
      <w:pPr>
        <w:pStyle w:val="FirstParagraph"/>
      </w:pPr>
      <w:r>
        <w:t xml:space="preserve">Anonymous hotline; direct to Audit Committee; email.</w:t>
      </w:r>
    </w:p>
    <w:p>
      <w:pPr>
        <w:pStyle w:val="Heading2"/>
      </w:pPr>
      <w:bookmarkStart w:id="12" w:name="_protection"/>
      <w:r>
        <w:t xml:space="preserve">4. Protection</w:t>
      </w:r>
    </w:p>
    <w:p>
      <w:pPr>
        <w:pStyle w:val="FirstParagraph"/>
      </w:pPr>
      <w:r>
        <w:t xml:space="preserve">No retaliation; confidentiality preserved.</w:t>
      </w:r>
    </w:p>
    <w:p>
      <w:pPr>
        <w:pStyle w:val="Heading2"/>
      </w:pPr>
      <w:bookmarkStart w:id="13" w:name="_investigation"/>
      <w:r>
        <w:t xml:space="preserve">5. Investigation</w:t>
      </w:r>
    </w:p>
    <w:p>
      <w:pPr>
        <w:pStyle w:val="FirstParagraph"/>
      </w:pPr>
      <w:r>
        <w:t xml:space="preserve">Independent review within 30 days.</w:t>
      </w:r>
    </w:p>
    <w:p>
      <w:pPr>
        <w:pStyle w:val="Heading2"/>
      </w:pPr>
      <w:bookmarkStart w:id="14" w:name="_reporting"/>
      <w:r>
        <w:t xml:space="preserve">6. Reporting</w:t>
      </w:r>
    </w:p>
    <w:p>
      <w:pPr>
        <w:pStyle w:val="FirstParagraph"/>
      </w:pPr>
      <w:r>
        <w:t xml:space="preserve">Quarterly summary to Audit Committee.</w:t>
      </w:r>
    </w:p>
    <w:p>
      <w:pPr>
        <w:pStyle w:val="Heading2"/>
      </w:pPr>
      <w:bookmarkStart w:id="15" w:name="_records"/>
      <w:r>
        <w:t xml:space="preserve">7. Records</w:t>
      </w:r>
    </w:p>
    <w:p>
      <w:pPr>
        <w:pStyle w:val="FirstParagraph"/>
      </w:pPr>
      <w:r>
        <w:t xml:space="preserve">Retained 7 years.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Whistleblower Policy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